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06" w:rsidRPr="00913806" w:rsidRDefault="00913806" w:rsidP="00913806">
      <w:pPr>
        <w:suppressAutoHyphens/>
        <w:spacing w:after="120" w:line="240" w:lineRule="auto"/>
        <w:jc w:val="both"/>
        <w:rPr>
          <w:rFonts w:ascii="Calibri" w:eastAsia="Times New Roman" w:hAnsi="Calibri" w:cs="Calibri"/>
          <w:b/>
          <w:iCs/>
          <w:szCs w:val="24"/>
          <w:lang w:eastAsia="zh-CN"/>
        </w:rPr>
      </w:pPr>
      <w:r w:rsidRPr="00913806">
        <w:rPr>
          <w:rFonts w:ascii="Calibri" w:eastAsia="Times New Roman" w:hAnsi="Calibri" w:cs="Arial"/>
          <w:b/>
          <w:iCs/>
          <w:lang w:eastAsia="zh-CN"/>
        </w:rPr>
        <w:t>ΠΙΝΑΚΑΣ ΣΥΜΜΟΡΦΩΣΗΣ ΤΕΧΝΙΚΗΣ ΠΡΟΣΦΟΡΑΣ</w:t>
      </w:r>
    </w:p>
    <w:tbl>
      <w:tblPr>
        <w:tblW w:w="10080" w:type="dxa"/>
        <w:tblInd w:w="-743" w:type="dxa"/>
        <w:tblLook w:val="0000" w:firstRow="0" w:lastRow="0" w:firstColumn="0" w:lastColumn="0" w:noHBand="0" w:noVBand="0"/>
      </w:tblPr>
      <w:tblGrid>
        <w:gridCol w:w="571"/>
        <w:gridCol w:w="6674"/>
        <w:gridCol w:w="1275"/>
        <w:gridCol w:w="1560"/>
      </w:tblGrid>
      <w:tr w:rsidR="00913806" w:rsidRPr="00913806" w:rsidTr="00913806">
        <w:trPr>
          <w:trHeight w:val="740"/>
        </w:trPr>
        <w:tc>
          <w:tcPr>
            <w:tcW w:w="571" w:type="dxa"/>
            <w:tcBorders>
              <w:top w:val="single" w:sz="8" w:space="0" w:color="auto"/>
              <w:left w:val="single" w:sz="8" w:space="0" w:color="auto"/>
              <w:bottom w:val="single" w:sz="4" w:space="0" w:color="auto"/>
              <w:right w:val="single" w:sz="8" w:space="0" w:color="auto"/>
            </w:tcBorders>
            <w:shd w:val="clear" w:color="auto" w:fill="FFFF99"/>
            <w:vAlign w:val="center"/>
          </w:tcPr>
          <w:p w:rsidR="00913806" w:rsidRPr="00913806" w:rsidRDefault="00913806" w:rsidP="00913806">
            <w:pPr>
              <w:spacing w:after="0" w:line="240" w:lineRule="auto"/>
              <w:jc w:val="center"/>
              <w:rPr>
                <w:rFonts w:ascii="Calibri" w:eastAsia="Calibri" w:hAnsi="Calibri" w:cs="Times New Roman"/>
                <w:b/>
                <w:bCs/>
              </w:rPr>
            </w:pPr>
            <w:r w:rsidRPr="00913806">
              <w:rPr>
                <w:rFonts w:ascii="Calibri" w:eastAsia="Calibri" w:hAnsi="Calibri" w:cs="Times New Roman"/>
                <w:b/>
                <w:bCs/>
              </w:rPr>
              <w:t>α/α</w:t>
            </w:r>
          </w:p>
        </w:tc>
        <w:tc>
          <w:tcPr>
            <w:tcW w:w="6674" w:type="dxa"/>
            <w:tcBorders>
              <w:top w:val="single" w:sz="8" w:space="0" w:color="auto"/>
              <w:left w:val="nil"/>
              <w:bottom w:val="single" w:sz="4" w:space="0" w:color="auto"/>
              <w:right w:val="single" w:sz="8" w:space="0" w:color="auto"/>
            </w:tcBorders>
            <w:shd w:val="clear" w:color="auto" w:fill="FFFF99"/>
            <w:vAlign w:val="center"/>
          </w:tcPr>
          <w:p w:rsidR="00913806" w:rsidRPr="00913806" w:rsidRDefault="00913806" w:rsidP="00913806">
            <w:pPr>
              <w:suppressAutoHyphens/>
              <w:spacing w:after="0" w:line="240" w:lineRule="auto"/>
              <w:jc w:val="center"/>
              <w:rPr>
                <w:rFonts w:ascii="Calibri" w:eastAsia="Calibri" w:hAnsi="Calibri" w:cs="Times New Roman"/>
                <w:b/>
                <w:bCs/>
              </w:rPr>
            </w:pPr>
            <w:r w:rsidRPr="00913806">
              <w:rPr>
                <w:rFonts w:ascii="Calibri" w:eastAsia="Calibri" w:hAnsi="Calibri" w:cs="Times New Roman"/>
                <w:b/>
                <w:bCs/>
              </w:rPr>
              <w:t>ΑΝΑΛΥΤΙΚΗ ΠΕΡΙΓΡΑΦΗ ΠΡΟΔΙΑΓΡΑΦΩΝ</w:t>
            </w:r>
          </w:p>
        </w:tc>
        <w:tc>
          <w:tcPr>
            <w:tcW w:w="1275" w:type="dxa"/>
            <w:tcBorders>
              <w:top w:val="single" w:sz="8" w:space="0" w:color="auto"/>
              <w:left w:val="nil"/>
              <w:bottom w:val="single" w:sz="4" w:space="0" w:color="auto"/>
              <w:right w:val="single" w:sz="8" w:space="0" w:color="auto"/>
            </w:tcBorders>
            <w:shd w:val="clear" w:color="auto" w:fill="FFFF99"/>
            <w:vAlign w:val="center"/>
          </w:tcPr>
          <w:p w:rsidR="00913806" w:rsidRPr="00913806" w:rsidRDefault="00913806" w:rsidP="00913806">
            <w:pPr>
              <w:suppressAutoHyphens/>
              <w:spacing w:after="0" w:line="240" w:lineRule="auto"/>
              <w:jc w:val="center"/>
              <w:rPr>
                <w:rFonts w:ascii="Calibri" w:eastAsia="Calibri" w:hAnsi="Calibri" w:cs="Times New Roman"/>
                <w:b/>
                <w:bCs/>
              </w:rPr>
            </w:pPr>
            <w:r w:rsidRPr="00913806">
              <w:rPr>
                <w:rFonts w:ascii="Calibri" w:eastAsia="Calibri" w:hAnsi="Calibri" w:cs="Times New Roman"/>
                <w:b/>
                <w:bCs/>
              </w:rPr>
              <w:t>ΑΠΑΙΤΗΣΗ</w:t>
            </w:r>
          </w:p>
        </w:tc>
        <w:tc>
          <w:tcPr>
            <w:tcW w:w="1560" w:type="dxa"/>
            <w:tcBorders>
              <w:top w:val="single" w:sz="8" w:space="0" w:color="auto"/>
              <w:left w:val="nil"/>
              <w:bottom w:val="single" w:sz="4" w:space="0" w:color="auto"/>
              <w:right w:val="single" w:sz="8" w:space="0" w:color="auto"/>
            </w:tcBorders>
            <w:shd w:val="clear" w:color="auto" w:fill="FFFF99"/>
            <w:vAlign w:val="center"/>
          </w:tcPr>
          <w:p w:rsidR="00913806" w:rsidRPr="00913806" w:rsidRDefault="00913806" w:rsidP="00913806">
            <w:pPr>
              <w:suppressAutoHyphens/>
              <w:spacing w:after="0" w:line="240" w:lineRule="auto"/>
              <w:jc w:val="center"/>
              <w:rPr>
                <w:rFonts w:ascii="Calibri" w:eastAsia="Calibri" w:hAnsi="Calibri" w:cs="Times New Roman"/>
                <w:b/>
                <w:bCs/>
              </w:rPr>
            </w:pPr>
            <w:r w:rsidRPr="00913806">
              <w:rPr>
                <w:rFonts w:ascii="Calibri" w:eastAsia="Calibri" w:hAnsi="Calibri" w:cs="Times New Roman"/>
                <w:b/>
                <w:bCs/>
              </w:rPr>
              <w:t>ΑΠΑΝΤΗΣΗ</w:t>
            </w:r>
          </w:p>
        </w:tc>
      </w:tr>
      <w:tr w:rsidR="00913806" w:rsidRPr="00913806" w:rsidTr="00913806">
        <w:trPr>
          <w:trHeight w:val="540"/>
        </w:trPr>
        <w:tc>
          <w:tcPr>
            <w:tcW w:w="571" w:type="dxa"/>
            <w:tcBorders>
              <w:top w:val="nil"/>
              <w:left w:val="single" w:sz="8" w:space="0" w:color="auto"/>
              <w:bottom w:val="single" w:sz="8" w:space="0" w:color="auto"/>
              <w:right w:val="single" w:sz="8" w:space="0" w:color="auto"/>
            </w:tcBorders>
            <w:shd w:val="clear" w:color="auto" w:fill="auto"/>
            <w:vAlign w:val="bottom"/>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1</w:t>
            </w:r>
          </w:p>
        </w:tc>
        <w:tc>
          <w:tcPr>
            <w:tcW w:w="6674" w:type="dxa"/>
            <w:tcBorders>
              <w:top w:val="nil"/>
              <w:left w:val="nil"/>
              <w:bottom w:val="single" w:sz="8" w:space="0" w:color="auto"/>
              <w:right w:val="single" w:sz="8" w:space="0" w:color="auto"/>
            </w:tcBorders>
            <w:shd w:val="clear" w:color="auto" w:fill="auto"/>
            <w:vAlign w:val="bottom"/>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Ο ανάδοχος οφείλει να εκτελεί φύλαξη με επισταμένη προσοχή του υπόψη περιγραφόμενου κτιρίου.</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vAlign w:val="bottom"/>
          </w:tcPr>
          <w:p w:rsidR="00913806" w:rsidRPr="00913806" w:rsidRDefault="00913806" w:rsidP="00913806">
            <w:pPr>
              <w:spacing w:after="0" w:line="240" w:lineRule="auto"/>
              <w:rPr>
                <w:rFonts w:ascii="Calibri" w:eastAsia="Calibri" w:hAnsi="Calibri" w:cs="Times New Roman"/>
                <w:b/>
                <w:bCs/>
              </w:rPr>
            </w:pPr>
            <w:r w:rsidRPr="00913806">
              <w:rPr>
                <w:rFonts w:ascii="Calibri" w:eastAsia="Calibri" w:hAnsi="Calibri" w:cs="Times New Roman"/>
                <w:b/>
                <w:bCs/>
              </w:rPr>
              <w:t> </w:t>
            </w:r>
          </w:p>
        </w:tc>
      </w:tr>
      <w:tr w:rsidR="00913806" w:rsidRPr="00913806" w:rsidTr="00913806">
        <w:trPr>
          <w:trHeight w:val="49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2</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Η φύλαξη θα γίνεται τις νυχτερινές ώρες, όλες τις ημέρες της εβδομάδας, με συνεχή - τουλάχιστον τέσσερις (4) φορές κάθε βράδυ για κάθε κτίριο - επαναλαμβανόμενη περιπολία στα τέσσερα προαναφερθέντα κτίρια από περίπολο  με ένστολο προσωπικό του αναδόχου (εταιρείας ή φυσικού προσώπου).</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58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3</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Επιπρόσθετα, εργαζόμενος του αναδόχου, από τη Δευτέρα έως και την Παρασκευή, θα φροντίζει το πρωί μεταξύ 07:00 07:30 περίπου, το άνοιγμα όλων των κτιρίων, καθώς και των συστημάτων θέρμανσης τη χειμερινή περίοδο.</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420"/>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4</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Το βράδυ και σε ώρες που θα συμφωνηθούν θα γίνεται από την εταιρεία το κλείσιμο των κτιρίων, ο έλεγχος του φωτισμού, το κλείσιμο των συστημάτων θέρμανσης κλπ.</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660"/>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5</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Από τα νυχτερινά περίπολα θα κρατείται καθημερινά βιβλίο συμβάντων.</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61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6</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Ο χρόνος ανταπόκρισης και παρέμβασης σε περίπτωση έκτακτης και απρόβλεπτης ανάγκης θα πρέπει να είναι άμεσος και με οποιονδήποτε τρόπο. Οι τρόποι θα συζητηθούν μεταξύ των αρμοδίων του Πανεπιστημίου και του αναδόχου..</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810"/>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7</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Προϋπόθεση είναι ότι οι μετακινήσεις των περιπόλων θα γίνονται με υπηρεσιακό αυτοκίνητο του αναδόχου το  οποίο υποχρεωτικά θα φέρει τα απαραίτητα διακριτικά.</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49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8</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Για οποιοδήποτε πρόβλημα που αδυνατεί να αντιμετωπίσει, να ενημερώνει τον Διευθυντή Διοίκησης και Οικονομικής Διαχείρισης ή και τον Υπεύθυνο Μηχανογράφησης.</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812"/>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9</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Να εκπληρώνει όλες τις υποχρεώσεις του απέναντι στο Δημόσιο, στους ασφαλιστικούς  φορείς  και  σε  κάθε τρίτο.</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420"/>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10</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Να τηρεί απαρέγκλιτα τις διατάξεις της εργατικής νομοθεσίας, δηλαδή, καταβολή των νομίμων αποδοχών, οι οποίες σε καμιά περίπτωση δεν μπορεί να είναι κατώτερες των προβλεπόμενων από την οικεία ΣΣΕ, τήρηση του νομίμου ωραρίου, ασφαλιστική κάλυψη, όροι υγιεινής και ασφάλειας των εργαζομένων κ.λπ. .</w:t>
            </w:r>
            <w:bookmarkStart w:id="0" w:name="_GoBack"/>
            <w:bookmarkEnd w:id="0"/>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420"/>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lang w:val="en-US"/>
              </w:rPr>
            </w:pPr>
            <w:r w:rsidRPr="00913806">
              <w:rPr>
                <w:rFonts w:ascii="Calibri" w:eastAsia="Calibri" w:hAnsi="Calibri" w:cs="Times New Roman"/>
                <w:bCs/>
                <w:lang w:val="en-US"/>
              </w:rPr>
              <w:t>11</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Αποδεικτικό πληρωμής των εργαζομένων στην εργολαβία για τον προηγούμενο μήνα</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p>
        </w:tc>
      </w:tr>
      <w:tr w:rsidR="00913806" w:rsidRPr="00913806" w:rsidTr="00913806">
        <w:trPr>
          <w:trHeight w:val="208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lang w:val="en-US"/>
              </w:rPr>
            </w:pPr>
            <w:r w:rsidRPr="00913806">
              <w:rPr>
                <w:rFonts w:ascii="Calibri" w:eastAsia="Calibri" w:hAnsi="Calibri" w:cs="Times New Roman"/>
                <w:bCs/>
              </w:rPr>
              <w:t>12</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Σε περίπτωση δε που διαπιστωθεί παράβαση ουσιωδών όρων της σύμβασης, από την πλημμελή εκτέλεση του έργου φύλαξης του υπόψη κτιρίου, θα επιβάλλεται στον ανάδοχο, από τη Σύγκλητο του Πανεπιστημίου, ποινική ρήτρα από 500-1.000 ευρώ, για κάθε παραβίαση της σύμβασης ανάλογα με το είδος και το μέγεθος των παραλείψεων του, παρακρατούμενη από τη μηνιαία αμοιβή του. Σε περίπτωση υποτροπών η πιο πάνω ρήτρα θα διπλασιάζεται, διατηρουμένου του δικαιώματος καταγγελίας της σύμβασης με δικαίωμα κατάπτωσης υπέρ του Πανεπιστημίου της εγγυητικής επιστολής καλής εκτέλεσης και κήρυξης του αναδόχου εκπτώτου.</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750"/>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lastRenderedPageBreak/>
              <w:t>13</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Να τηρεί τις κείμενες διατάξεις σχετικά με την ασφάλεια των εργαζομένων και να είναι αποκλειστικά και μόνος υπεύθυνος ποινικά και αστικά για κάθε ατύχημα που τυχόν θα προέκυπτε στο προσωπικό του.</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49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14</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Να διαθέτει προσωπικό  ασφαλείας για έκτακτες περιπτώσεις.</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91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15</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H ευθύνη του αναδόχου δεν περιορίζεται μόνο στο ποσό της εγγύησης, αλλά επεκτείνεται μέχρι την πλήρη και ολοσχερή ικανοποίηση του εργοδότη, σε περίπτωση που η εκτέλεση του έργου δεν είναι σύμφωνη με τους όρους της παρούσας.</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750"/>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16</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Μετά τη λήξη της σύμβασης, ο ανάδοχος εργολάβος υποχρεούται να αποχωρήσει άμεσα από τον χώρο λειτουργίας της συμβάσεως εργολαβίας, χωρίς να απαιτείται ειδική όχληση του εργοδότη.</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840"/>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17</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xml:space="preserve"> Ο ανάδοχος οφείλει να αντικαθιστά αμέσως και χωρίς αντιρρήσεις κάθε μέλος του προσωπικού του, το οποίο θα κριθεί ακατάλληλο (για ανάρμοστη συμπεριφορά ή για οποιαδήποτε λόγο), μόλις ειδοποιηθεί σχετικά και εγγράφως από το Πανεπιστήμιο.</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79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18</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xml:space="preserve"> Απαγορεύεται η αναδοχή από άλλο πρόσωπο οποιονδήποτε δικαιωμάτων του αναδόχου που θα απορρέουν από τη σύμβαση που θα υπογραφεί.</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100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19</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Ο έλεγχος των όρων της σύμβασης θα γίνεται κάθε φορά από αρμόδια επιτροπή που θα έχει  ορισθεί από τη Σύγκλητο του Πανεπιστημίου η οποία θα συντάσσει και την βεβαίωση καλής εκτέλεσης του έργου.</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585"/>
        </w:trPr>
        <w:tc>
          <w:tcPr>
            <w:tcW w:w="571" w:type="dxa"/>
            <w:tcBorders>
              <w:top w:val="nil"/>
              <w:left w:val="single" w:sz="8" w:space="0" w:color="auto"/>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20</w:t>
            </w:r>
          </w:p>
        </w:tc>
        <w:tc>
          <w:tcPr>
            <w:tcW w:w="6674" w:type="dxa"/>
            <w:tcBorders>
              <w:top w:val="nil"/>
              <w:left w:val="nil"/>
              <w:bottom w:val="single" w:sz="8"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xml:space="preserve"> Για κάθε διαφορά που θα προκύψει μεταξύ των συμβαλλομένων, σχετικά με την παρούσα, αρμόδια είναι τα δικαστήρια της Κοζάνης.</w:t>
            </w:r>
          </w:p>
        </w:tc>
        <w:tc>
          <w:tcPr>
            <w:tcW w:w="1275"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8"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750"/>
        </w:trPr>
        <w:tc>
          <w:tcPr>
            <w:tcW w:w="571" w:type="dxa"/>
            <w:tcBorders>
              <w:top w:val="nil"/>
              <w:left w:val="single" w:sz="8" w:space="0" w:color="auto"/>
              <w:bottom w:val="single" w:sz="4"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21</w:t>
            </w:r>
          </w:p>
        </w:tc>
        <w:tc>
          <w:tcPr>
            <w:tcW w:w="6674" w:type="dxa"/>
            <w:tcBorders>
              <w:top w:val="nil"/>
              <w:left w:val="nil"/>
              <w:bottom w:val="single" w:sz="4"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Για όσα δεν προβλέπονται με την παρούσα σύμβαση, εφαρμόζονται ανάλογα οι σχετικές διατάξεις του A.K. και της λοιπής νομοθεσίας που ισχύει.</w:t>
            </w:r>
          </w:p>
        </w:tc>
        <w:tc>
          <w:tcPr>
            <w:tcW w:w="1275" w:type="dxa"/>
            <w:tcBorders>
              <w:top w:val="nil"/>
              <w:left w:val="nil"/>
              <w:bottom w:val="single" w:sz="4"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4"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 </w:t>
            </w:r>
          </w:p>
        </w:tc>
      </w:tr>
      <w:tr w:rsidR="00913806" w:rsidRPr="00913806" w:rsidTr="00913806">
        <w:trPr>
          <w:trHeight w:val="30"/>
        </w:trPr>
        <w:tc>
          <w:tcPr>
            <w:tcW w:w="571" w:type="dxa"/>
            <w:tcBorders>
              <w:top w:val="single" w:sz="4" w:space="0" w:color="auto"/>
              <w:left w:val="single" w:sz="8" w:space="0" w:color="auto"/>
              <w:bottom w:val="nil"/>
              <w:right w:val="single" w:sz="8" w:space="0" w:color="auto"/>
            </w:tcBorders>
            <w:shd w:val="clear" w:color="auto" w:fill="auto"/>
            <w:vAlign w:val="center"/>
          </w:tcPr>
          <w:p w:rsidR="00913806" w:rsidRPr="00913806" w:rsidRDefault="00913806" w:rsidP="00913806">
            <w:pPr>
              <w:suppressAutoHyphens/>
              <w:spacing w:after="0" w:line="240" w:lineRule="auto"/>
              <w:rPr>
                <w:rFonts w:ascii="Calibri" w:eastAsia="Calibri" w:hAnsi="Calibri" w:cs="Times New Roman"/>
                <w:bCs/>
              </w:rPr>
            </w:pPr>
          </w:p>
        </w:tc>
        <w:tc>
          <w:tcPr>
            <w:tcW w:w="6674" w:type="dxa"/>
            <w:tcBorders>
              <w:top w:val="single" w:sz="4" w:space="0" w:color="auto"/>
              <w:left w:val="nil"/>
              <w:bottom w:val="nil"/>
              <w:right w:val="single" w:sz="8" w:space="0" w:color="auto"/>
            </w:tcBorders>
            <w:shd w:val="clear" w:color="auto" w:fill="auto"/>
            <w:vAlign w:val="center"/>
          </w:tcPr>
          <w:p w:rsidR="00913806" w:rsidRPr="00913806" w:rsidRDefault="00913806" w:rsidP="00913806">
            <w:pPr>
              <w:suppressAutoHyphens/>
              <w:spacing w:after="0" w:line="240" w:lineRule="auto"/>
              <w:rPr>
                <w:rFonts w:ascii="Calibri" w:eastAsia="Calibri" w:hAnsi="Calibri" w:cs="Times New Roman"/>
                <w:bCs/>
              </w:rPr>
            </w:pPr>
          </w:p>
        </w:tc>
        <w:tc>
          <w:tcPr>
            <w:tcW w:w="1275" w:type="dxa"/>
            <w:tcBorders>
              <w:top w:val="single" w:sz="4" w:space="0" w:color="auto"/>
              <w:left w:val="nil"/>
              <w:bottom w:val="nil"/>
              <w:right w:val="single" w:sz="8" w:space="0" w:color="auto"/>
            </w:tcBorders>
            <w:shd w:val="clear" w:color="auto" w:fill="auto"/>
            <w:noWrap/>
            <w:vAlign w:val="center"/>
          </w:tcPr>
          <w:p w:rsidR="00913806" w:rsidRPr="00913806" w:rsidRDefault="00913806" w:rsidP="00913806">
            <w:pPr>
              <w:suppressAutoHyphens/>
              <w:spacing w:after="0" w:line="240" w:lineRule="auto"/>
              <w:jc w:val="center"/>
              <w:rPr>
                <w:rFonts w:ascii="Calibri" w:eastAsia="Calibri" w:hAnsi="Calibri" w:cs="Times New Roman"/>
                <w:bCs/>
              </w:rPr>
            </w:pPr>
          </w:p>
        </w:tc>
        <w:tc>
          <w:tcPr>
            <w:tcW w:w="1560" w:type="dxa"/>
            <w:tcBorders>
              <w:top w:val="single" w:sz="4" w:space="0" w:color="auto"/>
              <w:left w:val="nil"/>
              <w:bottom w:val="nil"/>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p>
        </w:tc>
      </w:tr>
      <w:tr w:rsidR="00913806" w:rsidRPr="00913806" w:rsidTr="00913806">
        <w:trPr>
          <w:trHeight w:val="465"/>
        </w:trPr>
        <w:tc>
          <w:tcPr>
            <w:tcW w:w="571" w:type="dxa"/>
            <w:tcBorders>
              <w:top w:val="nil"/>
              <w:left w:val="single" w:sz="8" w:space="0" w:color="auto"/>
              <w:bottom w:val="single" w:sz="4"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22</w:t>
            </w:r>
          </w:p>
        </w:tc>
        <w:tc>
          <w:tcPr>
            <w:tcW w:w="6674" w:type="dxa"/>
            <w:tcBorders>
              <w:top w:val="nil"/>
              <w:left w:val="nil"/>
              <w:bottom w:val="single" w:sz="4" w:space="0" w:color="auto"/>
              <w:right w:val="single" w:sz="8" w:space="0" w:color="auto"/>
            </w:tcBorders>
            <w:shd w:val="clear" w:color="auto" w:fill="auto"/>
            <w:vAlign w:val="center"/>
          </w:tcPr>
          <w:p w:rsidR="00913806" w:rsidRPr="00913806" w:rsidRDefault="00913806" w:rsidP="00913806">
            <w:pPr>
              <w:spacing w:after="0" w:line="240" w:lineRule="auto"/>
              <w:rPr>
                <w:rFonts w:ascii="Calibri" w:eastAsia="Calibri" w:hAnsi="Calibri" w:cs="Times New Roman"/>
                <w:bCs/>
              </w:rPr>
            </w:pPr>
            <w:r w:rsidRPr="00913806">
              <w:rPr>
                <w:rFonts w:ascii="Calibri" w:eastAsia="Calibri" w:hAnsi="Calibri" w:cs="Times New Roman"/>
                <w:bCs/>
              </w:rPr>
              <w:t>Οι φύλακες οφείλουν να ελέγχουν τους χώρους του κτιρίου ασφάλιση παραθύρων και κλείδωμα όλων των εξωτερικών χώρων</w:t>
            </w:r>
          </w:p>
        </w:tc>
        <w:tc>
          <w:tcPr>
            <w:tcW w:w="1275" w:type="dxa"/>
            <w:tcBorders>
              <w:top w:val="nil"/>
              <w:left w:val="nil"/>
              <w:bottom w:val="single" w:sz="4" w:space="0" w:color="auto"/>
              <w:right w:val="single" w:sz="8" w:space="0" w:color="auto"/>
            </w:tcBorders>
            <w:shd w:val="clear" w:color="auto" w:fill="auto"/>
            <w:noWrap/>
            <w:vAlign w:val="center"/>
          </w:tcPr>
          <w:p w:rsidR="00913806" w:rsidRPr="00913806" w:rsidRDefault="00913806" w:rsidP="00913806">
            <w:pPr>
              <w:spacing w:after="0" w:line="240" w:lineRule="auto"/>
              <w:jc w:val="center"/>
              <w:rPr>
                <w:rFonts w:ascii="Calibri" w:eastAsia="Calibri" w:hAnsi="Calibri" w:cs="Times New Roman"/>
                <w:bCs/>
              </w:rPr>
            </w:pPr>
            <w:r w:rsidRPr="00913806">
              <w:rPr>
                <w:rFonts w:ascii="Calibri" w:eastAsia="Calibri" w:hAnsi="Calibri" w:cs="Times New Roman"/>
                <w:bCs/>
              </w:rPr>
              <w:t>ΝΑΙ</w:t>
            </w:r>
          </w:p>
        </w:tc>
        <w:tc>
          <w:tcPr>
            <w:tcW w:w="1560" w:type="dxa"/>
            <w:tcBorders>
              <w:top w:val="nil"/>
              <w:left w:val="nil"/>
              <w:bottom w:val="single" w:sz="4" w:space="0" w:color="auto"/>
              <w:right w:val="single" w:sz="8" w:space="0" w:color="auto"/>
            </w:tcBorders>
            <w:shd w:val="clear" w:color="auto" w:fill="auto"/>
            <w:noWrap/>
            <w:vAlign w:val="center"/>
          </w:tcPr>
          <w:p w:rsidR="00913806" w:rsidRPr="00913806" w:rsidRDefault="00913806" w:rsidP="00913806">
            <w:pPr>
              <w:spacing w:after="0" w:line="240" w:lineRule="auto"/>
              <w:rPr>
                <w:rFonts w:ascii="Calibri" w:eastAsia="Calibri" w:hAnsi="Calibri" w:cs="Times New Roman"/>
                <w:bCs/>
              </w:rPr>
            </w:pPr>
          </w:p>
        </w:tc>
      </w:tr>
    </w:tbl>
    <w:p w:rsidR="005D6F7A" w:rsidRDefault="005D6F7A"/>
    <w:sectPr w:rsidR="005D6F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EC"/>
    <w:rsid w:val="005925EC"/>
    <w:rsid w:val="005D6F7A"/>
    <w:rsid w:val="00913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677</Words>
  <Characters>3658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1</cp:revision>
  <dcterms:created xsi:type="dcterms:W3CDTF">2018-06-28T07:30:00Z</dcterms:created>
  <dcterms:modified xsi:type="dcterms:W3CDTF">2018-06-28T07:46:00Z</dcterms:modified>
</cp:coreProperties>
</file>