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12C" w:rsidRPr="0039502F" w:rsidRDefault="005F412C" w:rsidP="005F412C">
      <w:pPr>
        <w:pStyle w:val="2"/>
        <w:tabs>
          <w:tab w:val="clear" w:pos="567"/>
          <w:tab w:val="left" w:pos="0"/>
        </w:tabs>
        <w:ind w:left="0" w:firstLine="0"/>
        <w:rPr>
          <w:rFonts w:asciiTheme="minorHAnsi" w:hAnsiTheme="minorHAnsi"/>
          <w:lang w:val="el-GR"/>
        </w:rPr>
      </w:pPr>
      <w:r w:rsidRPr="0039502F">
        <w:rPr>
          <w:rFonts w:asciiTheme="minorHAnsi" w:hAnsiTheme="minorHAnsi"/>
          <w:lang w:val="el-GR"/>
        </w:rPr>
        <w:t xml:space="preserve">ΠΑΡΑΡΤΗΜΑ VI – </w:t>
      </w:r>
      <w:bookmarkStart w:id="0" w:name="_GoBack"/>
      <w:r w:rsidRPr="0039502F">
        <w:rPr>
          <w:rFonts w:asciiTheme="minorHAnsi" w:hAnsiTheme="minorHAnsi"/>
          <w:lang w:val="el-GR"/>
        </w:rPr>
        <w:t>Υπόδειγμα Οικονομικής Προσφοράς</w:t>
      </w:r>
      <w:bookmarkEnd w:id="0"/>
    </w:p>
    <w:p w:rsidR="005F412C" w:rsidRPr="0039502F" w:rsidRDefault="005F412C" w:rsidP="005F412C">
      <w:pPr>
        <w:widowControl w:val="0"/>
        <w:tabs>
          <w:tab w:val="num" w:pos="720"/>
        </w:tabs>
        <w:suppressAutoHyphens w:val="0"/>
        <w:overflowPunct w:val="0"/>
        <w:autoSpaceDE w:val="0"/>
        <w:autoSpaceDN w:val="0"/>
        <w:adjustRightInd w:val="0"/>
        <w:spacing w:after="0" w:line="278" w:lineRule="auto"/>
        <w:ind w:left="360"/>
        <w:rPr>
          <w:rFonts w:asciiTheme="minorHAnsi" w:hAnsiTheme="minorHAnsi" w:cs="Tahoma"/>
          <w:szCs w:val="22"/>
          <w:lang w:val="el-GR"/>
        </w:rPr>
      </w:pPr>
    </w:p>
    <w:p w:rsidR="005F412C" w:rsidRPr="0039502F" w:rsidRDefault="005F412C" w:rsidP="005F412C">
      <w:pPr>
        <w:widowControl w:val="0"/>
        <w:tabs>
          <w:tab w:val="num" w:pos="720"/>
        </w:tabs>
        <w:suppressAutoHyphens w:val="0"/>
        <w:overflowPunct w:val="0"/>
        <w:autoSpaceDE w:val="0"/>
        <w:autoSpaceDN w:val="0"/>
        <w:adjustRightInd w:val="0"/>
        <w:spacing w:after="0" w:line="278" w:lineRule="auto"/>
        <w:ind w:left="360"/>
        <w:rPr>
          <w:rFonts w:asciiTheme="minorHAnsi" w:hAnsiTheme="minorHAnsi"/>
          <w:lang w:val="el-GR" w:eastAsia="el-GR"/>
        </w:rPr>
      </w:pPr>
      <w:r w:rsidRPr="0039502F">
        <w:rPr>
          <w:rFonts w:asciiTheme="minorHAnsi" w:hAnsiTheme="minorHAnsi" w:cs="Tahoma"/>
          <w:szCs w:val="22"/>
          <w:lang w:val="el-GR"/>
        </w:rPr>
        <w:t xml:space="preserve">Υπόδειγμα ανάλυσης οικονομικής προσφοράς : </w:t>
      </w:r>
    </w:p>
    <w:tbl>
      <w:tblPr>
        <w:tblW w:w="10589" w:type="dxa"/>
        <w:tblInd w:w="-69" w:type="dxa"/>
        <w:tblLayout w:type="fixed"/>
        <w:tblCellMar>
          <w:left w:w="0" w:type="dxa"/>
          <w:right w:w="0" w:type="dxa"/>
        </w:tblCellMar>
        <w:tblLook w:val="0000" w:firstRow="0" w:lastRow="0" w:firstColumn="0" w:lastColumn="0" w:noHBand="0" w:noVBand="0"/>
      </w:tblPr>
      <w:tblGrid>
        <w:gridCol w:w="597"/>
        <w:gridCol w:w="2196"/>
        <w:gridCol w:w="1417"/>
        <w:gridCol w:w="1276"/>
        <w:gridCol w:w="1134"/>
        <w:gridCol w:w="1276"/>
        <w:gridCol w:w="2693"/>
      </w:tblGrid>
      <w:tr w:rsidR="005F412C" w:rsidRPr="005F412C" w:rsidTr="00635259">
        <w:trPr>
          <w:trHeight w:val="777"/>
        </w:trPr>
        <w:tc>
          <w:tcPr>
            <w:tcW w:w="597"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center"/>
              <w:rPr>
                <w:rFonts w:asciiTheme="minorHAnsi" w:hAnsiTheme="minorHAnsi" w:cs="Times New Roman"/>
                <w:b/>
                <w:bCs/>
                <w:sz w:val="16"/>
                <w:szCs w:val="22"/>
                <w:lang w:val="el-GR" w:eastAsia="el-GR"/>
              </w:rPr>
            </w:pPr>
            <w:r w:rsidRPr="0039502F">
              <w:rPr>
                <w:rFonts w:asciiTheme="minorHAnsi" w:hAnsiTheme="minorHAnsi" w:cs="Times New Roman"/>
                <w:b/>
                <w:bCs/>
                <w:sz w:val="16"/>
                <w:szCs w:val="22"/>
                <w:lang w:val="el-GR" w:eastAsia="el-GR"/>
              </w:rPr>
              <w:t>α/α</w:t>
            </w:r>
          </w:p>
        </w:tc>
        <w:tc>
          <w:tcPr>
            <w:tcW w:w="2196"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center"/>
              <w:rPr>
                <w:rFonts w:asciiTheme="minorHAnsi" w:hAnsiTheme="minorHAnsi" w:cs="Times New Roman"/>
                <w:b/>
                <w:bCs/>
                <w:sz w:val="16"/>
                <w:szCs w:val="22"/>
                <w:lang w:val="el-GR" w:eastAsia="el-GR"/>
              </w:rPr>
            </w:pPr>
            <w:r w:rsidRPr="0039502F">
              <w:rPr>
                <w:rFonts w:asciiTheme="minorHAnsi" w:hAnsiTheme="minorHAnsi" w:cs="Times New Roman"/>
                <w:b/>
                <w:bCs/>
                <w:sz w:val="16"/>
                <w:szCs w:val="22"/>
                <w:lang w:val="el-GR" w:eastAsia="el-GR"/>
              </w:rPr>
              <w:t>ΣΤΟΙΧΕΙΑ</w:t>
            </w:r>
          </w:p>
        </w:tc>
        <w:tc>
          <w:tcPr>
            <w:tcW w:w="1417"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center"/>
              <w:rPr>
                <w:rFonts w:asciiTheme="minorHAnsi" w:hAnsiTheme="minorHAnsi" w:cs="Times New Roman"/>
                <w:b/>
                <w:bCs/>
                <w:sz w:val="16"/>
                <w:szCs w:val="18"/>
                <w:lang w:val="el-GR" w:eastAsia="el-GR"/>
              </w:rPr>
            </w:pPr>
            <w:r w:rsidRPr="0039502F">
              <w:rPr>
                <w:rFonts w:asciiTheme="minorHAnsi" w:hAnsiTheme="minorHAnsi" w:cs="Times New Roman"/>
                <w:b/>
                <w:bCs/>
                <w:sz w:val="16"/>
                <w:szCs w:val="18"/>
                <w:lang w:val="el-GR" w:eastAsia="el-GR"/>
              </w:rPr>
              <w:t>ΧΡΟΝΙΚΟ ΔΙΑΣΤΗΜΑ</w:t>
            </w:r>
          </w:p>
        </w:tc>
        <w:tc>
          <w:tcPr>
            <w:tcW w:w="1276"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5F412C" w:rsidRPr="0039502F" w:rsidRDefault="005F412C" w:rsidP="00635259">
            <w:pPr>
              <w:suppressAutoHyphens w:val="0"/>
              <w:snapToGrid w:val="0"/>
              <w:spacing w:after="200" w:line="276" w:lineRule="auto"/>
              <w:jc w:val="center"/>
              <w:rPr>
                <w:rFonts w:asciiTheme="minorHAnsi" w:hAnsiTheme="minorHAnsi" w:cs="Times New Roman"/>
                <w:b/>
                <w:bCs/>
                <w:sz w:val="16"/>
                <w:szCs w:val="18"/>
                <w:lang w:val="el-GR" w:eastAsia="el-GR"/>
              </w:rPr>
            </w:pPr>
            <w:r w:rsidRPr="0039502F">
              <w:rPr>
                <w:rFonts w:asciiTheme="minorHAnsi" w:hAnsiTheme="minorHAnsi" w:cs="Times New Roman"/>
                <w:b/>
                <w:bCs/>
                <w:sz w:val="16"/>
                <w:szCs w:val="18"/>
                <w:lang w:val="el-GR" w:eastAsia="el-GR"/>
              </w:rPr>
              <w:t>ΑΡΙΘΜΟΣ ΑΤΟΜΩΝ</w:t>
            </w:r>
          </w:p>
        </w:tc>
        <w:tc>
          <w:tcPr>
            <w:tcW w:w="1134"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center"/>
              <w:rPr>
                <w:rFonts w:asciiTheme="minorHAnsi" w:hAnsiTheme="minorHAnsi" w:cs="Times New Roman"/>
                <w:b/>
                <w:bCs/>
                <w:sz w:val="16"/>
                <w:szCs w:val="18"/>
                <w:lang w:val="el-GR" w:eastAsia="el-GR"/>
              </w:rPr>
            </w:pPr>
            <w:r w:rsidRPr="0039502F">
              <w:rPr>
                <w:rFonts w:asciiTheme="minorHAnsi" w:hAnsiTheme="minorHAnsi" w:cs="Times New Roman"/>
                <w:b/>
                <w:bCs/>
                <w:sz w:val="16"/>
                <w:szCs w:val="18"/>
                <w:lang w:val="el-GR" w:eastAsia="el-GR"/>
              </w:rPr>
              <w:t>ΜΗΝΙΑΙΟ ΚΟΣΤΟΣ ΚΑΤ'ΑΤΟΜΟ</w:t>
            </w:r>
          </w:p>
        </w:tc>
        <w:tc>
          <w:tcPr>
            <w:tcW w:w="1276"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center"/>
              <w:rPr>
                <w:rFonts w:asciiTheme="minorHAnsi" w:hAnsiTheme="minorHAnsi" w:cs="Times New Roman"/>
                <w:b/>
                <w:bCs/>
                <w:sz w:val="16"/>
                <w:szCs w:val="18"/>
                <w:lang w:val="el-GR" w:eastAsia="el-GR"/>
              </w:rPr>
            </w:pPr>
            <w:r w:rsidRPr="0039502F">
              <w:rPr>
                <w:rFonts w:asciiTheme="minorHAnsi" w:hAnsiTheme="minorHAnsi" w:cs="Times New Roman"/>
                <w:b/>
                <w:bCs/>
                <w:sz w:val="16"/>
                <w:szCs w:val="18"/>
                <w:lang w:val="el-GR" w:eastAsia="el-GR"/>
              </w:rPr>
              <w:t>ΣΥΝΟΛΙΚΟ ΜΗΝΙΑΙΟ ΚΟΣΤΟΣ</w:t>
            </w:r>
          </w:p>
        </w:tc>
        <w:tc>
          <w:tcPr>
            <w:tcW w:w="2693"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5F412C" w:rsidRPr="0039502F" w:rsidRDefault="005F412C" w:rsidP="00635259">
            <w:pPr>
              <w:suppressAutoHyphens w:val="0"/>
              <w:snapToGrid w:val="0"/>
              <w:spacing w:after="200" w:line="276" w:lineRule="auto"/>
              <w:jc w:val="center"/>
              <w:rPr>
                <w:rFonts w:asciiTheme="minorHAnsi" w:hAnsiTheme="minorHAnsi" w:cs="Times New Roman"/>
                <w:b/>
                <w:bCs/>
                <w:sz w:val="16"/>
                <w:szCs w:val="18"/>
                <w:lang w:val="el-GR" w:eastAsia="el-GR"/>
              </w:rPr>
            </w:pPr>
            <w:r w:rsidRPr="0039502F">
              <w:rPr>
                <w:rFonts w:asciiTheme="minorHAnsi" w:hAnsiTheme="minorHAnsi" w:cs="Times New Roman"/>
                <w:b/>
                <w:bCs/>
                <w:sz w:val="16"/>
                <w:szCs w:val="18"/>
                <w:lang w:val="el-GR" w:eastAsia="el-GR"/>
              </w:rPr>
              <w:t>ΣΥΝΟΛΙΚΟ  ΚΟΣΤΟΣ ΤΟΥ ΕΡΓΟΥ</w:t>
            </w:r>
          </w:p>
          <w:p w:rsidR="005F412C" w:rsidRPr="0039502F" w:rsidRDefault="005F412C" w:rsidP="00635259">
            <w:pPr>
              <w:suppressAutoHyphens w:val="0"/>
              <w:snapToGrid w:val="0"/>
              <w:spacing w:after="200" w:line="276" w:lineRule="auto"/>
              <w:jc w:val="center"/>
              <w:rPr>
                <w:rFonts w:asciiTheme="minorHAnsi" w:hAnsiTheme="minorHAnsi" w:cs="Times New Roman"/>
                <w:b/>
                <w:bCs/>
                <w:sz w:val="16"/>
                <w:szCs w:val="18"/>
                <w:lang w:val="el-GR" w:eastAsia="el-GR"/>
              </w:rPr>
            </w:pPr>
            <w:r w:rsidRPr="0039502F">
              <w:rPr>
                <w:rFonts w:asciiTheme="minorHAnsi" w:hAnsiTheme="minorHAnsi" w:cs="Times New Roman"/>
                <w:b/>
                <w:bCs/>
                <w:sz w:val="16"/>
                <w:szCs w:val="18"/>
                <w:lang w:val="el-GR" w:eastAsia="el-GR"/>
              </w:rPr>
              <w:t>(2 ΕΤΗ)</w:t>
            </w:r>
          </w:p>
        </w:tc>
      </w:tr>
      <w:tr w:rsidR="005F412C" w:rsidRPr="005F412C" w:rsidTr="00635259">
        <w:trPr>
          <w:trHeight w:val="492"/>
        </w:trPr>
        <w:tc>
          <w:tcPr>
            <w:tcW w:w="597" w:type="dxa"/>
            <w:vMerge w:val="restart"/>
            <w:tcBorders>
              <w:top w:val="thinThickLargeGap" w:sz="6" w:space="0" w:color="C0C0C0"/>
              <w:left w:val="thinThickLargeGap" w:sz="6" w:space="0" w:color="C0C0C0"/>
            </w:tcBorders>
            <w:vAlign w:val="center"/>
          </w:tcPr>
          <w:p w:rsidR="005F412C" w:rsidRPr="0039502F" w:rsidRDefault="005F412C" w:rsidP="00635259">
            <w:pPr>
              <w:suppressAutoHyphens w:val="0"/>
              <w:snapToGrid w:val="0"/>
              <w:spacing w:after="200" w:line="276" w:lineRule="auto"/>
              <w:jc w:val="center"/>
              <w:rPr>
                <w:rFonts w:asciiTheme="minorHAnsi" w:hAnsiTheme="minorHAnsi" w:cs="Times New Roman"/>
                <w:b/>
                <w:bCs/>
                <w:sz w:val="16"/>
                <w:szCs w:val="18"/>
                <w:lang w:val="el-GR" w:eastAsia="el-GR"/>
              </w:rPr>
            </w:pPr>
            <w:r w:rsidRPr="0039502F">
              <w:rPr>
                <w:rFonts w:asciiTheme="minorHAnsi" w:hAnsiTheme="minorHAnsi" w:cs="Times New Roman"/>
                <w:b/>
                <w:bCs/>
                <w:sz w:val="16"/>
                <w:szCs w:val="18"/>
                <w:lang w:val="el-GR" w:eastAsia="el-GR"/>
              </w:rPr>
              <w:t>1</w:t>
            </w:r>
          </w:p>
        </w:tc>
        <w:tc>
          <w:tcPr>
            <w:tcW w:w="2196" w:type="dxa"/>
            <w:vMerge w:val="restart"/>
            <w:tcBorders>
              <w:top w:val="thinThickLargeGap" w:sz="6" w:space="0" w:color="C0C0C0"/>
              <w:left w:val="thinThickLargeGap" w:sz="6" w:space="0" w:color="C0C0C0"/>
            </w:tcBorders>
            <w:vAlign w:val="center"/>
          </w:tcPr>
          <w:p w:rsidR="005F412C" w:rsidRPr="0039502F" w:rsidRDefault="005F412C" w:rsidP="00635259">
            <w:pPr>
              <w:suppressAutoHyphens w:val="0"/>
              <w:snapToGrid w:val="0"/>
              <w:spacing w:after="200" w:line="276" w:lineRule="auto"/>
              <w:jc w:val="left"/>
              <w:rPr>
                <w:rFonts w:asciiTheme="minorHAnsi" w:hAnsiTheme="minorHAnsi" w:cs="Arial"/>
                <w:sz w:val="20"/>
                <w:szCs w:val="20"/>
                <w:lang w:val="el-GR" w:eastAsia="el-GR"/>
              </w:rPr>
            </w:pPr>
            <w:r w:rsidRPr="0039502F">
              <w:rPr>
                <w:rFonts w:asciiTheme="minorHAnsi" w:hAnsiTheme="minorHAnsi" w:cs="Arial"/>
                <w:sz w:val="20"/>
                <w:szCs w:val="20"/>
                <w:lang w:val="el-GR" w:eastAsia="el-GR"/>
              </w:rPr>
              <w:t>Μικτές αποδοχές προσωπικού</w:t>
            </w:r>
          </w:p>
          <w:p w:rsidR="005F412C" w:rsidRPr="0039502F" w:rsidRDefault="005F412C" w:rsidP="00635259">
            <w:pPr>
              <w:suppressAutoHyphens w:val="0"/>
              <w:snapToGrid w:val="0"/>
              <w:spacing w:after="200" w:line="276" w:lineRule="auto"/>
              <w:jc w:val="left"/>
              <w:rPr>
                <w:rFonts w:asciiTheme="minorHAnsi" w:hAnsiTheme="minorHAnsi" w:cs="Arial"/>
                <w:sz w:val="16"/>
                <w:szCs w:val="18"/>
                <w:lang w:val="el-GR" w:eastAsia="el-GR"/>
              </w:rPr>
            </w:pPr>
            <w:r w:rsidRPr="0039502F">
              <w:rPr>
                <w:rFonts w:asciiTheme="minorHAnsi" w:hAnsiTheme="minorHAnsi" w:cs="Arial"/>
                <w:sz w:val="20"/>
                <w:szCs w:val="20"/>
                <w:lang w:val="el-GR" w:eastAsia="el-GR"/>
              </w:rPr>
              <w:t xml:space="preserve">(καθαριστές - καθαρίστριες) </w:t>
            </w:r>
          </w:p>
        </w:tc>
        <w:tc>
          <w:tcPr>
            <w:tcW w:w="1417"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pacing w:after="200" w:line="276" w:lineRule="auto"/>
              <w:jc w:val="center"/>
              <w:rPr>
                <w:rFonts w:asciiTheme="minorHAnsi" w:hAnsiTheme="minorHAnsi" w:cs="Times New Roman"/>
                <w:bCs/>
                <w:sz w:val="16"/>
                <w:szCs w:val="18"/>
                <w:lang w:val="el-GR" w:eastAsia="el-GR"/>
              </w:rPr>
            </w:pPr>
            <w:r w:rsidRPr="0039502F">
              <w:rPr>
                <w:rFonts w:asciiTheme="minorHAnsi" w:hAnsiTheme="minorHAnsi" w:cs="Times New Roman"/>
                <w:bCs/>
                <w:sz w:val="16"/>
                <w:szCs w:val="18"/>
                <w:lang w:val="el-GR" w:eastAsia="el-GR"/>
              </w:rPr>
              <w:t xml:space="preserve">  για τους μήνες </w:t>
            </w:r>
          </w:p>
          <w:p w:rsidR="005F412C" w:rsidRPr="0039502F" w:rsidRDefault="005F412C" w:rsidP="00635259">
            <w:pPr>
              <w:suppressAutoHyphens w:val="0"/>
              <w:spacing w:after="200" w:line="276" w:lineRule="auto"/>
              <w:jc w:val="center"/>
              <w:rPr>
                <w:rFonts w:asciiTheme="minorHAnsi" w:hAnsiTheme="minorHAnsi" w:cs="Times New Roman"/>
                <w:bCs/>
                <w:sz w:val="16"/>
                <w:szCs w:val="18"/>
                <w:lang w:val="el-GR" w:eastAsia="el-GR"/>
              </w:rPr>
            </w:pPr>
            <w:r w:rsidRPr="0039502F">
              <w:rPr>
                <w:rFonts w:asciiTheme="minorHAnsi" w:hAnsiTheme="minorHAnsi" w:cs="Times New Roman"/>
                <w:bCs/>
                <w:sz w:val="16"/>
                <w:szCs w:val="18"/>
                <w:lang w:val="el-GR" w:eastAsia="el-GR"/>
              </w:rPr>
              <w:t xml:space="preserve">9ος – 6ος </w:t>
            </w:r>
          </w:p>
          <w:p w:rsidR="005F412C" w:rsidRPr="0039502F" w:rsidRDefault="005F412C" w:rsidP="00635259">
            <w:pPr>
              <w:suppressAutoHyphens w:val="0"/>
              <w:snapToGrid w:val="0"/>
              <w:spacing w:after="200" w:line="276" w:lineRule="auto"/>
              <w:jc w:val="center"/>
              <w:rPr>
                <w:rFonts w:asciiTheme="minorHAnsi" w:eastAsia="Arial Unicode MS" w:hAnsiTheme="minorHAnsi" w:cs="Arial"/>
                <w:sz w:val="16"/>
                <w:szCs w:val="22"/>
                <w:lang w:val="el-GR" w:eastAsia="el-GR"/>
              </w:rPr>
            </w:pPr>
            <w:r w:rsidRPr="0039502F">
              <w:rPr>
                <w:rFonts w:asciiTheme="minorHAnsi" w:hAnsiTheme="minorHAnsi" w:cs="Times New Roman"/>
                <w:bCs/>
                <w:sz w:val="16"/>
                <w:szCs w:val="18"/>
                <w:lang w:val="el-GR" w:eastAsia="el-GR"/>
              </w:rPr>
              <w:t>24,5 ώρες ημερησίως</w:t>
            </w:r>
          </w:p>
        </w:tc>
        <w:tc>
          <w:tcPr>
            <w:tcW w:w="1276" w:type="dxa"/>
            <w:tcBorders>
              <w:top w:val="thinThickLargeGap" w:sz="6" w:space="0" w:color="C0C0C0"/>
              <w:left w:val="thinThickLargeGap" w:sz="6" w:space="0" w:color="C0C0C0"/>
              <w:bottom w:val="thinThickLargeGap" w:sz="6" w:space="0" w:color="C0C0C0"/>
              <w:right w:val="thinThickLargeGap" w:sz="6" w:space="0" w:color="C0C0C0"/>
            </w:tcBorders>
          </w:tcPr>
          <w:p w:rsidR="005F412C" w:rsidRPr="0039502F" w:rsidRDefault="005F412C" w:rsidP="00635259">
            <w:pPr>
              <w:suppressAutoHyphens w:val="0"/>
              <w:snapToGrid w:val="0"/>
              <w:spacing w:after="200" w:line="276" w:lineRule="auto"/>
              <w:jc w:val="right"/>
              <w:rPr>
                <w:rFonts w:asciiTheme="minorHAnsi" w:eastAsia="Arial Unicode MS" w:hAnsiTheme="minorHAnsi" w:cs="Arial"/>
                <w:sz w:val="16"/>
                <w:szCs w:val="22"/>
                <w:lang w:val="el-GR" w:eastAsia="el-GR"/>
              </w:rPr>
            </w:pPr>
          </w:p>
        </w:tc>
        <w:tc>
          <w:tcPr>
            <w:tcW w:w="1134" w:type="dxa"/>
            <w:tcBorders>
              <w:top w:val="thinThickLargeGap" w:sz="6" w:space="0" w:color="C0C0C0"/>
              <w:left w:val="thinThickLargeGap" w:sz="6" w:space="0" w:color="C0C0C0"/>
              <w:bottom w:val="thinThickLargeGap" w:sz="6" w:space="0" w:color="C0C0C0"/>
            </w:tcBorders>
            <w:shd w:val="clear" w:color="auto" w:fill="auto"/>
            <w:vAlign w:val="center"/>
          </w:tcPr>
          <w:p w:rsidR="005F412C" w:rsidRPr="0039502F" w:rsidRDefault="005F412C" w:rsidP="00635259">
            <w:pPr>
              <w:suppressAutoHyphens w:val="0"/>
              <w:snapToGrid w:val="0"/>
              <w:spacing w:after="200" w:line="276" w:lineRule="auto"/>
              <w:jc w:val="right"/>
              <w:rPr>
                <w:rFonts w:asciiTheme="minorHAnsi" w:eastAsia="Arial Unicode MS" w:hAnsiTheme="minorHAnsi" w:cs="Arial"/>
                <w:sz w:val="16"/>
                <w:szCs w:val="22"/>
                <w:lang w:val="el-GR" w:eastAsia="el-GR"/>
              </w:rPr>
            </w:pPr>
          </w:p>
        </w:tc>
        <w:tc>
          <w:tcPr>
            <w:tcW w:w="1276" w:type="dxa"/>
            <w:tcBorders>
              <w:top w:val="thinThickLargeGap" w:sz="6" w:space="0" w:color="C0C0C0"/>
              <w:left w:val="thinThickLargeGap" w:sz="6" w:space="0" w:color="C0C0C0"/>
              <w:bottom w:val="thinThickLargeGap" w:sz="6" w:space="0" w:color="C0C0C0"/>
            </w:tcBorders>
            <w:shd w:val="clear" w:color="auto" w:fill="auto"/>
            <w:vAlign w:val="center"/>
          </w:tcPr>
          <w:p w:rsidR="005F412C" w:rsidRPr="0039502F" w:rsidRDefault="005F412C" w:rsidP="00635259">
            <w:pPr>
              <w:suppressAutoHyphens w:val="0"/>
              <w:snapToGrid w:val="0"/>
              <w:spacing w:after="200" w:line="276" w:lineRule="auto"/>
              <w:jc w:val="right"/>
              <w:rPr>
                <w:rFonts w:asciiTheme="minorHAnsi" w:eastAsia="Arial Unicode MS" w:hAnsiTheme="minorHAnsi" w:cs="Arial"/>
                <w:sz w:val="16"/>
                <w:szCs w:val="22"/>
                <w:lang w:val="el-GR" w:eastAsia="el-GR"/>
              </w:rPr>
            </w:pPr>
          </w:p>
        </w:tc>
        <w:tc>
          <w:tcPr>
            <w:tcW w:w="2693" w:type="dxa"/>
            <w:vMerge w:val="restart"/>
            <w:tcBorders>
              <w:top w:val="thinThickLargeGap" w:sz="6" w:space="0" w:color="C0C0C0"/>
              <w:left w:val="thinThickLargeGap" w:sz="6" w:space="0" w:color="C0C0C0"/>
              <w:right w:val="thinThickLargeGap" w:sz="6" w:space="0" w:color="C0C0C0"/>
            </w:tcBorders>
            <w:vAlign w:val="center"/>
          </w:tcPr>
          <w:p w:rsidR="005F412C" w:rsidRPr="0039502F" w:rsidRDefault="005F412C" w:rsidP="00635259">
            <w:pPr>
              <w:suppressAutoHyphens w:val="0"/>
              <w:spacing w:after="200" w:line="276" w:lineRule="auto"/>
              <w:jc w:val="left"/>
              <w:rPr>
                <w:rFonts w:asciiTheme="minorHAnsi" w:hAnsiTheme="minorHAnsi" w:cs="Times New Roman"/>
                <w:sz w:val="16"/>
                <w:szCs w:val="22"/>
                <w:lang w:val="el-GR" w:eastAsia="el-GR"/>
              </w:rPr>
            </w:pPr>
          </w:p>
        </w:tc>
      </w:tr>
      <w:tr w:rsidR="005F412C" w:rsidRPr="005F412C" w:rsidTr="00635259">
        <w:trPr>
          <w:trHeight w:val="492"/>
        </w:trPr>
        <w:tc>
          <w:tcPr>
            <w:tcW w:w="597" w:type="dxa"/>
            <w:vMerge/>
            <w:tcBorders>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center"/>
              <w:rPr>
                <w:rFonts w:asciiTheme="minorHAnsi" w:hAnsiTheme="minorHAnsi" w:cs="Times New Roman"/>
                <w:b/>
                <w:bCs/>
                <w:sz w:val="16"/>
                <w:szCs w:val="18"/>
                <w:lang w:val="el-GR" w:eastAsia="el-GR"/>
              </w:rPr>
            </w:pPr>
          </w:p>
        </w:tc>
        <w:tc>
          <w:tcPr>
            <w:tcW w:w="2196" w:type="dxa"/>
            <w:vMerge/>
            <w:tcBorders>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left"/>
              <w:rPr>
                <w:rFonts w:asciiTheme="minorHAnsi" w:hAnsiTheme="minorHAnsi" w:cs="Arial"/>
                <w:sz w:val="16"/>
                <w:szCs w:val="18"/>
                <w:lang w:val="el-GR" w:eastAsia="el-GR"/>
              </w:rPr>
            </w:pPr>
          </w:p>
        </w:tc>
        <w:tc>
          <w:tcPr>
            <w:tcW w:w="1417"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pacing w:after="200" w:line="276" w:lineRule="auto"/>
              <w:jc w:val="center"/>
              <w:rPr>
                <w:rFonts w:asciiTheme="minorHAnsi" w:hAnsiTheme="minorHAnsi" w:cs="Times New Roman"/>
                <w:bCs/>
                <w:sz w:val="16"/>
                <w:szCs w:val="18"/>
                <w:lang w:val="el-GR" w:eastAsia="el-GR"/>
              </w:rPr>
            </w:pPr>
            <w:r w:rsidRPr="0039502F">
              <w:rPr>
                <w:rFonts w:asciiTheme="minorHAnsi" w:hAnsiTheme="minorHAnsi" w:cs="Times New Roman"/>
                <w:bCs/>
                <w:sz w:val="16"/>
                <w:szCs w:val="18"/>
                <w:lang w:val="el-GR" w:eastAsia="el-GR"/>
              </w:rPr>
              <w:t xml:space="preserve"> για τους μήνες </w:t>
            </w:r>
          </w:p>
          <w:p w:rsidR="005F412C" w:rsidRPr="0039502F" w:rsidRDefault="005F412C" w:rsidP="00635259">
            <w:pPr>
              <w:suppressAutoHyphens w:val="0"/>
              <w:spacing w:after="200" w:line="276" w:lineRule="auto"/>
              <w:jc w:val="center"/>
              <w:rPr>
                <w:rFonts w:asciiTheme="minorHAnsi" w:hAnsiTheme="minorHAnsi" w:cs="Times New Roman"/>
                <w:bCs/>
                <w:sz w:val="16"/>
                <w:szCs w:val="18"/>
                <w:lang w:val="el-GR" w:eastAsia="el-GR"/>
              </w:rPr>
            </w:pPr>
            <w:r w:rsidRPr="0039502F">
              <w:rPr>
                <w:rFonts w:asciiTheme="minorHAnsi" w:hAnsiTheme="minorHAnsi" w:cs="Times New Roman"/>
                <w:bCs/>
                <w:sz w:val="16"/>
                <w:szCs w:val="18"/>
                <w:lang w:val="el-GR" w:eastAsia="el-GR"/>
              </w:rPr>
              <w:t xml:space="preserve">7ος – 8ος </w:t>
            </w:r>
          </w:p>
          <w:p w:rsidR="005F412C" w:rsidRPr="0039502F" w:rsidRDefault="005F412C" w:rsidP="00635259">
            <w:pPr>
              <w:suppressAutoHyphens w:val="0"/>
              <w:snapToGrid w:val="0"/>
              <w:spacing w:after="200" w:line="276" w:lineRule="auto"/>
              <w:jc w:val="center"/>
              <w:rPr>
                <w:rFonts w:asciiTheme="minorHAnsi" w:eastAsia="Arial Unicode MS" w:hAnsiTheme="minorHAnsi" w:cs="Arial"/>
                <w:sz w:val="16"/>
                <w:szCs w:val="22"/>
                <w:lang w:val="el-GR" w:eastAsia="el-GR"/>
              </w:rPr>
            </w:pPr>
            <w:r w:rsidRPr="0039502F">
              <w:rPr>
                <w:rFonts w:asciiTheme="minorHAnsi" w:hAnsiTheme="minorHAnsi" w:cs="Times New Roman"/>
                <w:bCs/>
                <w:sz w:val="16"/>
                <w:szCs w:val="18"/>
                <w:lang w:val="el-GR" w:eastAsia="el-GR"/>
              </w:rPr>
              <w:t>16 ώρες ημερησίως</w:t>
            </w:r>
          </w:p>
        </w:tc>
        <w:tc>
          <w:tcPr>
            <w:tcW w:w="1276" w:type="dxa"/>
            <w:tcBorders>
              <w:top w:val="thinThickLargeGap" w:sz="6" w:space="0" w:color="C0C0C0"/>
              <w:left w:val="thinThickLargeGap" w:sz="6" w:space="0" w:color="C0C0C0"/>
              <w:bottom w:val="thinThickLargeGap" w:sz="6" w:space="0" w:color="C0C0C0"/>
              <w:right w:val="thinThickLargeGap" w:sz="6" w:space="0" w:color="C0C0C0"/>
            </w:tcBorders>
          </w:tcPr>
          <w:p w:rsidR="005F412C" w:rsidRPr="0039502F" w:rsidRDefault="005F412C" w:rsidP="00635259">
            <w:pPr>
              <w:suppressAutoHyphens w:val="0"/>
              <w:snapToGrid w:val="0"/>
              <w:spacing w:after="200" w:line="276" w:lineRule="auto"/>
              <w:jc w:val="right"/>
              <w:rPr>
                <w:rFonts w:asciiTheme="minorHAnsi" w:eastAsia="Arial Unicode MS" w:hAnsiTheme="minorHAnsi" w:cs="Arial"/>
                <w:sz w:val="16"/>
                <w:szCs w:val="22"/>
                <w:lang w:val="el-GR" w:eastAsia="el-GR"/>
              </w:rPr>
            </w:pPr>
          </w:p>
        </w:tc>
        <w:tc>
          <w:tcPr>
            <w:tcW w:w="1134" w:type="dxa"/>
            <w:tcBorders>
              <w:top w:val="thinThickLargeGap" w:sz="6" w:space="0" w:color="C0C0C0"/>
              <w:left w:val="thinThickLargeGap" w:sz="6" w:space="0" w:color="C0C0C0"/>
              <w:bottom w:val="thinThickLargeGap" w:sz="6" w:space="0" w:color="C0C0C0"/>
            </w:tcBorders>
            <w:shd w:val="clear" w:color="auto" w:fill="auto"/>
            <w:vAlign w:val="center"/>
          </w:tcPr>
          <w:p w:rsidR="005F412C" w:rsidRPr="0039502F" w:rsidRDefault="005F412C" w:rsidP="00635259">
            <w:pPr>
              <w:suppressAutoHyphens w:val="0"/>
              <w:snapToGrid w:val="0"/>
              <w:spacing w:after="200" w:line="276" w:lineRule="auto"/>
              <w:jc w:val="right"/>
              <w:rPr>
                <w:rFonts w:asciiTheme="minorHAnsi" w:eastAsia="Arial Unicode MS" w:hAnsiTheme="minorHAnsi" w:cs="Arial"/>
                <w:sz w:val="16"/>
                <w:szCs w:val="22"/>
                <w:lang w:val="el-GR" w:eastAsia="el-GR"/>
              </w:rPr>
            </w:pPr>
          </w:p>
        </w:tc>
        <w:tc>
          <w:tcPr>
            <w:tcW w:w="1276" w:type="dxa"/>
            <w:tcBorders>
              <w:top w:val="thinThickLargeGap" w:sz="6" w:space="0" w:color="C0C0C0"/>
              <w:left w:val="thinThickLargeGap" w:sz="6" w:space="0" w:color="C0C0C0"/>
              <w:bottom w:val="thinThickLargeGap" w:sz="6" w:space="0" w:color="C0C0C0"/>
            </w:tcBorders>
            <w:shd w:val="clear" w:color="auto" w:fill="auto"/>
            <w:vAlign w:val="center"/>
          </w:tcPr>
          <w:p w:rsidR="005F412C" w:rsidRPr="0039502F" w:rsidRDefault="005F412C" w:rsidP="00635259">
            <w:pPr>
              <w:suppressAutoHyphens w:val="0"/>
              <w:snapToGrid w:val="0"/>
              <w:spacing w:after="200" w:line="276" w:lineRule="auto"/>
              <w:jc w:val="right"/>
              <w:rPr>
                <w:rFonts w:asciiTheme="minorHAnsi" w:eastAsia="Arial Unicode MS" w:hAnsiTheme="minorHAnsi" w:cs="Arial"/>
                <w:sz w:val="16"/>
                <w:szCs w:val="22"/>
                <w:lang w:val="el-GR" w:eastAsia="el-GR"/>
              </w:rPr>
            </w:pPr>
          </w:p>
        </w:tc>
        <w:tc>
          <w:tcPr>
            <w:tcW w:w="2693" w:type="dxa"/>
            <w:vMerge/>
            <w:tcBorders>
              <w:left w:val="thinThickLargeGap" w:sz="6" w:space="0" w:color="C0C0C0"/>
              <w:bottom w:val="thinThickLargeGap" w:sz="6" w:space="0" w:color="C0C0C0"/>
              <w:right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p>
        </w:tc>
      </w:tr>
      <w:tr w:rsidR="005F412C" w:rsidRPr="005F412C" w:rsidTr="00635259">
        <w:trPr>
          <w:trHeight w:val="566"/>
        </w:trPr>
        <w:tc>
          <w:tcPr>
            <w:tcW w:w="597" w:type="dxa"/>
            <w:vMerge w:val="restart"/>
            <w:tcBorders>
              <w:top w:val="thinThickLargeGap" w:sz="6" w:space="0" w:color="C0C0C0"/>
              <w:left w:val="thinThickLargeGap" w:sz="6" w:space="0" w:color="C0C0C0"/>
            </w:tcBorders>
            <w:vAlign w:val="center"/>
          </w:tcPr>
          <w:p w:rsidR="005F412C" w:rsidRPr="0039502F" w:rsidRDefault="005F412C" w:rsidP="00635259">
            <w:pPr>
              <w:suppressAutoHyphens w:val="0"/>
              <w:snapToGrid w:val="0"/>
              <w:spacing w:after="200" w:line="276" w:lineRule="auto"/>
              <w:jc w:val="center"/>
              <w:rPr>
                <w:rFonts w:asciiTheme="minorHAnsi" w:eastAsia="Arial Unicode MS" w:hAnsiTheme="minorHAnsi" w:cs="Times New Roman"/>
                <w:b/>
                <w:bCs/>
                <w:sz w:val="16"/>
                <w:szCs w:val="18"/>
                <w:lang w:val="el-GR" w:eastAsia="el-GR"/>
              </w:rPr>
            </w:pPr>
            <w:r w:rsidRPr="0039502F">
              <w:rPr>
                <w:rFonts w:asciiTheme="minorHAnsi" w:eastAsia="Arial Unicode MS" w:hAnsiTheme="minorHAnsi" w:cs="Times New Roman"/>
                <w:b/>
                <w:bCs/>
                <w:sz w:val="16"/>
                <w:szCs w:val="18"/>
                <w:lang w:val="el-GR" w:eastAsia="el-GR"/>
              </w:rPr>
              <w:t>2</w:t>
            </w:r>
          </w:p>
        </w:tc>
        <w:tc>
          <w:tcPr>
            <w:tcW w:w="2196" w:type="dxa"/>
            <w:vMerge w:val="restart"/>
            <w:tcBorders>
              <w:top w:val="thinThickLargeGap" w:sz="6" w:space="0" w:color="C0C0C0"/>
              <w:left w:val="thinThickLargeGap" w:sz="6" w:space="0" w:color="C0C0C0"/>
            </w:tcBorders>
            <w:vAlign w:val="center"/>
          </w:tcPr>
          <w:p w:rsidR="005F412C" w:rsidRPr="0039502F" w:rsidRDefault="005F412C" w:rsidP="00635259">
            <w:pPr>
              <w:suppressAutoHyphens w:val="0"/>
              <w:snapToGrid w:val="0"/>
              <w:spacing w:after="200" w:line="276" w:lineRule="auto"/>
              <w:jc w:val="left"/>
              <w:rPr>
                <w:rFonts w:asciiTheme="minorHAnsi" w:hAnsiTheme="minorHAnsi" w:cs="Arial"/>
                <w:sz w:val="20"/>
                <w:szCs w:val="20"/>
                <w:lang w:val="el-GR" w:eastAsia="el-GR"/>
              </w:rPr>
            </w:pPr>
            <w:r w:rsidRPr="0039502F">
              <w:rPr>
                <w:rFonts w:asciiTheme="minorHAnsi" w:hAnsiTheme="minorHAnsi" w:cs="Arial"/>
                <w:sz w:val="20"/>
                <w:szCs w:val="20"/>
                <w:lang w:val="el-GR" w:eastAsia="el-GR"/>
              </w:rPr>
              <w:t>Εισφορές ΙΚΑ εργοδότου</w:t>
            </w:r>
          </w:p>
        </w:tc>
        <w:tc>
          <w:tcPr>
            <w:tcW w:w="1417"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pacing w:after="200" w:line="276" w:lineRule="auto"/>
              <w:jc w:val="center"/>
              <w:rPr>
                <w:rFonts w:asciiTheme="minorHAnsi" w:hAnsiTheme="minorHAnsi" w:cs="Times New Roman"/>
                <w:bCs/>
                <w:sz w:val="16"/>
                <w:szCs w:val="18"/>
                <w:lang w:val="el-GR" w:eastAsia="el-GR"/>
              </w:rPr>
            </w:pPr>
            <w:r w:rsidRPr="0039502F">
              <w:rPr>
                <w:rFonts w:asciiTheme="minorHAnsi" w:hAnsiTheme="minorHAnsi" w:cs="Times New Roman"/>
                <w:bCs/>
                <w:sz w:val="16"/>
                <w:szCs w:val="18"/>
                <w:lang w:val="el-GR" w:eastAsia="el-GR"/>
              </w:rPr>
              <w:t xml:space="preserve"> για τους μήνες </w:t>
            </w:r>
          </w:p>
          <w:p w:rsidR="005F412C" w:rsidRPr="0039502F" w:rsidRDefault="005F412C" w:rsidP="00635259">
            <w:pPr>
              <w:suppressAutoHyphens w:val="0"/>
              <w:spacing w:after="200" w:line="276" w:lineRule="auto"/>
              <w:jc w:val="center"/>
              <w:rPr>
                <w:rFonts w:asciiTheme="minorHAnsi" w:hAnsiTheme="minorHAnsi" w:cs="Times New Roman"/>
                <w:bCs/>
                <w:sz w:val="16"/>
                <w:szCs w:val="18"/>
                <w:lang w:val="el-GR" w:eastAsia="el-GR"/>
              </w:rPr>
            </w:pPr>
            <w:r w:rsidRPr="0039502F">
              <w:rPr>
                <w:rFonts w:asciiTheme="minorHAnsi" w:hAnsiTheme="minorHAnsi" w:cs="Times New Roman"/>
                <w:bCs/>
                <w:sz w:val="16"/>
                <w:szCs w:val="18"/>
                <w:lang w:val="el-GR" w:eastAsia="el-GR"/>
              </w:rPr>
              <w:t xml:space="preserve">9ος – 6ος </w:t>
            </w:r>
          </w:p>
          <w:p w:rsidR="005F412C" w:rsidRPr="0039502F" w:rsidRDefault="005F412C" w:rsidP="00635259">
            <w:pPr>
              <w:suppressAutoHyphens w:val="0"/>
              <w:snapToGrid w:val="0"/>
              <w:spacing w:after="200" w:line="276" w:lineRule="auto"/>
              <w:jc w:val="center"/>
              <w:rPr>
                <w:rFonts w:asciiTheme="minorHAnsi" w:eastAsia="Arial Unicode MS" w:hAnsiTheme="minorHAnsi" w:cs="Arial"/>
                <w:sz w:val="16"/>
                <w:szCs w:val="22"/>
                <w:lang w:val="el-GR" w:eastAsia="el-GR"/>
              </w:rPr>
            </w:pPr>
            <w:r w:rsidRPr="0039502F">
              <w:rPr>
                <w:rFonts w:asciiTheme="minorHAnsi" w:hAnsiTheme="minorHAnsi" w:cs="Times New Roman"/>
                <w:bCs/>
                <w:sz w:val="16"/>
                <w:szCs w:val="18"/>
                <w:lang w:val="el-GR" w:eastAsia="el-GR"/>
              </w:rPr>
              <w:t>24,5 ώρες ημερησίως</w:t>
            </w:r>
          </w:p>
        </w:tc>
        <w:tc>
          <w:tcPr>
            <w:tcW w:w="1276" w:type="dxa"/>
            <w:tcBorders>
              <w:top w:val="thinThickLargeGap" w:sz="6" w:space="0" w:color="C0C0C0"/>
              <w:left w:val="thinThickLargeGap" w:sz="6" w:space="0" w:color="C0C0C0"/>
              <w:bottom w:val="thinThickLargeGap" w:sz="6" w:space="0" w:color="C0C0C0"/>
              <w:right w:val="thinThickLargeGap" w:sz="6" w:space="0" w:color="C0C0C0"/>
            </w:tcBorders>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p>
        </w:tc>
        <w:tc>
          <w:tcPr>
            <w:tcW w:w="1134"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r w:rsidRPr="0039502F">
              <w:rPr>
                <w:rFonts w:asciiTheme="minorHAnsi" w:hAnsiTheme="minorHAnsi" w:cs="Times New Roman"/>
                <w:sz w:val="16"/>
                <w:szCs w:val="22"/>
                <w:lang w:val="el-GR" w:eastAsia="el-GR"/>
              </w:rPr>
              <w:t> </w:t>
            </w:r>
          </w:p>
        </w:tc>
        <w:tc>
          <w:tcPr>
            <w:tcW w:w="1276"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r w:rsidRPr="0039502F">
              <w:rPr>
                <w:rFonts w:asciiTheme="minorHAnsi" w:hAnsiTheme="minorHAnsi" w:cs="Times New Roman"/>
                <w:sz w:val="16"/>
                <w:szCs w:val="22"/>
                <w:lang w:val="el-GR" w:eastAsia="el-GR"/>
              </w:rPr>
              <w:t> </w:t>
            </w:r>
          </w:p>
        </w:tc>
        <w:tc>
          <w:tcPr>
            <w:tcW w:w="2693" w:type="dxa"/>
            <w:vMerge w:val="restart"/>
            <w:tcBorders>
              <w:top w:val="thinThickLargeGap" w:sz="6" w:space="0" w:color="C0C0C0"/>
              <w:left w:val="thinThickLargeGap" w:sz="6" w:space="0" w:color="C0C0C0"/>
              <w:right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r w:rsidRPr="0039502F">
              <w:rPr>
                <w:rFonts w:asciiTheme="minorHAnsi" w:hAnsiTheme="minorHAnsi" w:cs="Times New Roman"/>
                <w:sz w:val="16"/>
                <w:szCs w:val="22"/>
                <w:lang w:val="el-GR" w:eastAsia="el-GR"/>
              </w:rPr>
              <w:t> </w:t>
            </w:r>
          </w:p>
        </w:tc>
      </w:tr>
      <w:tr w:rsidR="005F412C" w:rsidRPr="005F412C" w:rsidTr="00635259">
        <w:trPr>
          <w:trHeight w:val="566"/>
        </w:trPr>
        <w:tc>
          <w:tcPr>
            <w:tcW w:w="597" w:type="dxa"/>
            <w:vMerge/>
            <w:tcBorders>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center"/>
              <w:rPr>
                <w:rFonts w:asciiTheme="minorHAnsi" w:hAnsiTheme="minorHAnsi" w:cs="Times New Roman"/>
                <w:b/>
                <w:bCs/>
                <w:sz w:val="16"/>
                <w:szCs w:val="18"/>
                <w:lang w:val="el-GR" w:eastAsia="el-GR"/>
              </w:rPr>
            </w:pPr>
          </w:p>
        </w:tc>
        <w:tc>
          <w:tcPr>
            <w:tcW w:w="2196" w:type="dxa"/>
            <w:vMerge/>
            <w:tcBorders>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left"/>
              <w:rPr>
                <w:rFonts w:asciiTheme="minorHAnsi" w:hAnsiTheme="minorHAnsi" w:cs="Arial"/>
                <w:sz w:val="16"/>
                <w:szCs w:val="18"/>
                <w:lang w:val="el-GR" w:eastAsia="el-GR"/>
              </w:rPr>
            </w:pPr>
          </w:p>
        </w:tc>
        <w:tc>
          <w:tcPr>
            <w:tcW w:w="1417"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pacing w:after="200" w:line="276" w:lineRule="auto"/>
              <w:jc w:val="center"/>
              <w:rPr>
                <w:rFonts w:asciiTheme="minorHAnsi" w:hAnsiTheme="minorHAnsi" w:cs="Times New Roman"/>
                <w:bCs/>
                <w:sz w:val="16"/>
                <w:szCs w:val="18"/>
                <w:lang w:val="el-GR" w:eastAsia="el-GR"/>
              </w:rPr>
            </w:pPr>
            <w:r w:rsidRPr="0039502F">
              <w:rPr>
                <w:rFonts w:asciiTheme="minorHAnsi" w:hAnsiTheme="minorHAnsi" w:cs="Times New Roman"/>
                <w:bCs/>
                <w:sz w:val="16"/>
                <w:szCs w:val="18"/>
                <w:lang w:val="el-GR" w:eastAsia="el-GR"/>
              </w:rPr>
              <w:t xml:space="preserve">για τους μήνες </w:t>
            </w:r>
          </w:p>
          <w:p w:rsidR="005F412C" w:rsidRPr="0039502F" w:rsidRDefault="005F412C" w:rsidP="00635259">
            <w:pPr>
              <w:suppressAutoHyphens w:val="0"/>
              <w:spacing w:after="200" w:line="276" w:lineRule="auto"/>
              <w:jc w:val="center"/>
              <w:rPr>
                <w:rFonts w:asciiTheme="minorHAnsi" w:hAnsiTheme="minorHAnsi" w:cs="Times New Roman"/>
                <w:bCs/>
                <w:sz w:val="16"/>
                <w:szCs w:val="18"/>
                <w:lang w:val="el-GR" w:eastAsia="el-GR"/>
              </w:rPr>
            </w:pPr>
            <w:r w:rsidRPr="0039502F">
              <w:rPr>
                <w:rFonts w:asciiTheme="minorHAnsi" w:hAnsiTheme="minorHAnsi" w:cs="Times New Roman"/>
                <w:bCs/>
                <w:sz w:val="16"/>
                <w:szCs w:val="18"/>
                <w:lang w:val="el-GR" w:eastAsia="el-GR"/>
              </w:rPr>
              <w:t xml:space="preserve">7ος – 8ος </w:t>
            </w:r>
          </w:p>
          <w:p w:rsidR="005F412C" w:rsidRPr="0039502F" w:rsidRDefault="005F412C" w:rsidP="00635259">
            <w:pPr>
              <w:suppressAutoHyphens w:val="0"/>
              <w:snapToGrid w:val="0"/>
              <w:spacing w:after="200" w:line="276" w:lineRule="auto"/>
              <w:jc w:val="center"/>
              <w:rPr>
                <w:rFonts w:asciiTheme="minorHAnsi" w:eastAsia="Arial Unicode MS" w:hAnsiTheme="minorHAnsi" w:cs="Arial"/>
                <w:sz w:val="16"/>
                <w:szCs w:val="22"/>
                <w:lang w:val="el-GR" w:eastAsia="el-GR"/>
              </w:rPr>
            </w:pPr>
            <w:r w:rsidRPr="0039502F">
              <w:rPr>
                <w:rFonts w:asciiTheme="minorHAnsi" w:hAnsiTheme="minorHAnsi" w:cs="Times New Roman"/>
                <w:bCs/>
                <w:sz w:val="16"/>
                <w:szCs w:val="18"/>
                <w:lang w:val="el-GR" w:eastAsia="el-GR"/>
              </w:rPr>
              <w:t>16 ώρες ημερησίως</w:t>
            </w:r>
          </w:p>
        </w:tc>
        <w:tc>
          <w:tcPr>
            <w:tcW w:w="1276" w:type="dxa"/>
            <w:tcBorders>
              <w:top w:val="thinThickLargeGap" w:sz="6" w:space="0" w:color="C0C0C0"/>
              <w:left w:val="thinThickLargeGap" w:sz="6" w:space="0" w:color="C0C0C0"/>
              <w:bottom w:val="thinThickLargeGap" w:sz="6" w:space="0" w:color="C0C0C0"/>
              <w:right w:val="thinThickLargeGap" w:sz="6" w:space="0" w:color="C0C0C0"/>
            </w:tcBorders>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p>
        </w:tc>
        <w:tc>
          <w:tcPr>
            <w:tcW w:w="1134"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p>
        </w:tc>
        <w:tc>
          <w:tcPr>
            <w:tcW w:w="1276"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p>
        </w:tc>
        <w:tc>
          <w:tcPr>
            <w:tcW w:w="2693" w:type="dxa"/>
            <w:vMerge/>
            <w:tcBorders>
              <w:left w:val="thinThickLargeGap" w:sz="6" w:space="0" w:color="C0C0C0"/>
              <w:bottom w:val="thinThickLargeGap" w:sz="6" w:space="0" w:color="C0C0C0"/>
              <w:right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p>
        </w:tc>
      </w:tr>
      <w:tr w:rsidR="005F412C" w:rsidRPr="005F412C" w:rsidTr="00635259">
        <w:trPr>
          <w:trHeight w:val="722"/>
        </w:trPr>
        <w:tc>
          <w:tcPr>
            <w:tcW w:w="597"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center"/>
              <w:rPr>
                <w:rFonts w:asciiTheme="minorHAnsi" w:hAnsiTheme="minorHAnsi" w:cs="Times New Roman"/>
                <w:b/>
                <w:bCs/>
                <w:sz w:val="16"/>
                <w:szCs w:val="18"/>
                <w:lang w:val="el-GR" w:eastAsia="el-GR"/>
              </w:rPr>
            </w:pPr>
            <w:r w:rsidRPr="0039502F">
              <w:rPr>
                <w:rFonts w:asciiTheme="minorHAnsi" w:hAnsiTheme="minorHAnsi" w:cs="Times New Roman"/>
                <w:b/>
                <w:bCs/>
                <w:sz w:val="16"/>
                <w:szCs w:val="18"/>
                <w:lang w:val="el-GR" w:eastAsia="el-GR"/>
              </w:rPr>
              <w:t>3</w:t>
            </w:r>
          </w:p>
        </w:tc>
        <w:tc>
          <w:tcPr>
            <w:tcW w:w="6023" w:type="dxa"/>
            <w:gridSpan w:val="4"/>
            <w:tcBorders>
              <w:top w:val="thinThickLargeGap" w:sz="6" w:space="0" w:color="C0C0C0"/>
              <w:left w:val="thinThickLargeGap" w:sz="6" w:space="0" w:color="C0C0C0"/>
              <w:bottom w:val="thinThickLargeGap" w:sz="6" w:space="0" w:color="C0C0C0"/>
            </w:tcBorders>
          </w:tcPr>
          <w:p w:rsidR="005F412C" w:rsidRPr="0039502F" w:rsidRDefault="005F412C" w:rsidP="00635259">
            <w:pPr>
              <w:suppressAutoHyphens w:val="0"/>
              <w:snapToGrid w:val="0"/>
              <w:spacing w:after="200" w:line="276" w:lineRule="auto"/>
              <w:jc w:val="left"/>
              <w:rPr>
                <w:rFonts w:asciiTheme="minorHAnsi" w:hAnsiTheme="minorHAnsi" w:cs="Times New Roman"/>
                <w:sz w:val="20"/>
                <w:szCs w:val="20"/>
                <w:lang w:val="el-GR" w:eastAsia="el-GR"/>
              </w:rPr>
            </w:pPr>
            <w:r w:rsidRPr="0039502F">
              <w:rPr>
                <w:rFonts w:asciiTheme="minorHAnsi" w:hAnsiTheme="minorHAnsi" w:cs="Arial"/>
                <w:sz w:val="20"/>
                <w:szCs w:val="20"/>
                <w:lang w:val="el-GR" w:eastAsia="el-GR"/>
              </w:rPr>
              <w:t>Κόστος αναλωσίμων υλικών (σάκοι απορριμμάτων, απορρυπαντικά, λοιπά είδη καθαριότητας)</w:t>
            </w:r>
            <w:r w:rsidRPr="0039502F">
              <w:rPr>
                <w:rFonts w:asciiTheme="minorHAnsi" w:hAnsiTheme="minorHAnsi" w:cs="Times New Roman"/>
                <w:sz w:val="20"/>
                <w:szCs w:val="20"/>
                <w:lang w:val="el-GR" w:eastAsia="el-GR"/>
              </w:rPr>
              <w:t> </w:t>
            </w:r>
          </w:p>
        </w:tc>
        <w:tc>
          <w:tcPr>
            <w:tcW w:w="1276"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r w:rsidRPr="0039502F">
              <w:rPr>
                <w:rFonts w:asciiTheme="minorHAnsi" w:hAnsiTheme="minorHAnsi" w:cs="Times New Roman"/>
                <w:sz w:val="16"/>
                <w:szCs w:val="22"/>
                <w:lang w:val="el-GR" w:eastAsia="el-GR"/>
              </w:rPr>
              <w:t> </w:t>
            </w:r>
          </w:p>
        </w:tc>
        <w:tc>
          <w:tcPr>
            <w:tcW w:w="2693"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r w:rsidRPr="0039502F">
              <w:rPr>
                <w:rFonts w:asciiTheme="minorHAnsi" w:hAnsiTheme="minorHAnsi" w:cs="Times New Roman"/>
                <w:sz w:val="16"/>
                <w:szCs w:val="22"/>
                <w:lang w:val="el-GR" w:eastAsia="el-GR"/>
              </w:rPr>
              <w:t> </w:t>
            </w:r>
          </w:p>
        </w:tc>
      </w:tr>
      <w:tr w:rsidR="005F412C" w:rsidRPr="0039502F" w:rsidTr="00635259">
        <w:trPr>
          <w:trHeight w:val="566"/>
        </w:trPr>
        <w:tc>
          <w:tcPr>
            <w:tcW w:w="597"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center"/>
              <w:rPr>
                <w:rFonts w:asciiTheme="minorHAnsi" w:hAnsiTheme="minorHAnsi" w:cs="Times New Roman"/>
                <w:b/>
                <w:bCs/>
                <w:sz w:val="16"/>
                <w:szCs w:val="18"/>
                <w:lang w:val="el-GR" w:eastAsia="el-GR"/>
              </w:rPr>
            </w:pPr>
            <w:r w:rsidRPr="0039502F">
              <w:rPr>
                <w:rFonts w:asciiTheme="minorHAnsi" w:hAnsiTheme="minorHAnsi" w:cs="Times New Roman"/>
                <w:b/>
                <w:bCs/>
                <w:sz w:val="16"/>
                <w:szCs w:val="18"/>
                <w:lang w:val="el-GR" w:eastAsia="el-GR"/>
              </w:rPr>
              <w:t>4</w:t>
            </w:r>
          </w:p>
        </w:tc>
        <w:tc>
          <w:tcPr>
            <w:tcW w:w="6023" w:type="dxa"/>
            <w:gridSpan w:val="4"/>
            <w:tcBorders>
              <w:top w:val="thinThickLargeGap" w:sz="6" w:space="0" w:color="C0C0C0"/>
              <w:left w:val="thinThickLargeGap" w:sz="6" w:space="0" w:color="C0C0C0"/>
              <w:bottom w:val="thinThickLargeGap" w:sz="6" w:space="0" w:color="C0C0C0"/>
            </w:tcBorders>
          </w:tcPr>
          <w:p w:rsidR="005F412C" w:rsidRPr="0039502F" w:rsidRDefault="005F412C" w:rsidP="00635259">
            <w:pPr>
              <w:suppressAutoHyphens w:val="0"/>
              <w:snapToGrid w:val="0"/>
              <w:spacing w:after="200" w:line="276" w:lineRule="auto"/>
              <w:jc w:val="left"/>
              <w:rPr>
                <w:rFonts w:asciiTheme="minorHAnsi" w:hAnsiTheme="minorHAnsi" w:cs="Times New Roman"/>
                <w:sz w:val="20"/>
                <w:szCs w:val="20"/>
                <w:lang w:val="el-GR" w:eastAsia="el-GR"/>
              </w:rPr>
            </w:pPr>
            <w:r w:rsidRPr="0039502F">
              <w:rPr>
                <w:rFonts w:asciiTheme="minorHAnsi" w:eastAsia="Arial Unicode MS" w:hAnsiTheme="minorHAnsi" w:cs="Arial"/>
                <w:sz w:val="20"/>
                <w:szCs w:val="20"/>
                <w:lang w:val="el-GR" w:eastAsia="el-GR"/>
              </w:rPr>
              <w:t>Κόστος</w:t>
            </w:r>
            <w:r w:rsidRPr="0039502F">
              <w:rPr>
                <w:rFonts w:asciiTheme="minorHAnsi" w:hAnsiTheme="minorHAnsi" w:cs="Arial"/>
                <w:sz w:val="20"/>
                <w:szCs w:val="20"/>
                <w:lang w:val="el-GR" w:eastAsia="el-GR"/>
              </w:rPr>
              <w:t xml:space="preserve"> διοικητικής υποστήριξης</w:t>
            </w:r>
            <w:r w:rsidRPr="0039502F">
              <w:rPr>
                <w:rFonts w:asciiTheme="minorHAnsi" w:hAnsiTheme="minorHAnsi" w:cs="Arial"/>
                <w:sz w:val="20"/>
                <w:szCs w:val="20"/>
                <w:lang w:val="en-US" w:eastAsia="el-GR"/>
              </w:rPr>
              <w:t>.</w:t>
            </w:r>
            <w:r w:rsidRPr="0039502F">
              <w:rPr>
                <w:rFonts w:asciiTheme="minorHAnsi" w:hAnsiTheme="minorHAnsi" w:cs="Times New Roman"/>
                <w:sz w:val="20"/>
                <w:szCs w:val="20"/>
                <w:lang w:val="el-GR" w:eastAsia="el-GR"/>
              </w:rPr>
              <w:t> </w:t>
            </w:r>
          </w:p>
        </w:tc>
        <w:tc>
          <w:tcPr>
            <w:tcW w:w="1276"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r w:rsidRPr="0039502F">
              <w:rPr>
                <w:rFonts w:asciiTheme="minorHAnsi" w:hAnsiTheme="minorHAnsi" w:cs="Times New Roman"/>
                <w:sz w:val="16"/>
                <w:szCs w:val="22"/>
                <w:lang w:val="el-GR" w:eastAsia="el-GR"/>
              </w:rPr>
              <w:t> </w:t>
            </w:r>
          </w:p>
        </w:tc>
        <w:tc>
          <w:tcPr>
            <w:tcW w:w="2693"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r w:rsidRPr="0039502F">
              <w:rPr>
                <w:rFonts w:asciiTheme="minorHAnsi" w:hAnsiTheme="minorHAnsi" w:cs="Times New Roman"/>
                <w:sz w:val="16"/>
                <w:szCs w:val="22"/>
                <w:lang w:val="el-GR" w:eastAsia="el-GR"/>
              </w:rPr>
              <w:t> </w:t>
            </w:r>
          </w:p>
        </w:tc>
      </w:tr>
      <w:tr w:rsidR="005F412C" w:rsidRPr="0039502F" w:rsidTr="00635259">
        <w:trPr>
          <w:trHeight w:val="566"/>
        </w:trPr>
        <w:tc>
          <w:tcPr>
            <w:tcW w:w="597"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center"/>
              <w:rPr>
                <w:rFonts w:asciiTheme="minorHAnsi" w:hAnsiTheme="minorHAnsi" w:cs="Times New Roman"/>
                <w:b/>
                <w:bCs/>
                <w:sz w:val="16"/>
                <w:szCs w:val="18"/>
                <w:lang w:val="en-US" w:eastAsia="el-GR"/>
              </w:rPr>
            </w:pPr>
            <w:r w:rsidRPr="0039502F">
              <w:rPr>
                <w:rFonts w:asciiTheme="minorHAnsi" w:hAnsiTheme="minorHAnsi" w:cs="Times New Roman"/>
                <w:b/>
                <w:bCs/>
                <w:sz w:val="16"/>
                <w:szCs w:val="18"/>
                <w:lang w:val="en-US" w:eastAsia="el-GR"/>
              </w:rPr>
              <w:t>5</w:t>
            </w:r>
          </w:p>
        </w:tc>
        <w:tc>
          <w:tcPr>
            <w:tcW w:w="6023" w:type="dxa"/>
            <w:gridSpan w:val="4"/>
            <w:tcBorders>
              <w:top w:val="thinThickLargeGap" w:sz="6" w:space="0" w:color="C0C0C0"/>
              <w:left w:val="thinThickLargeGap" w:sz="6" w:space="0" w:color="C0C0C0"/>
              <w:bottom w:val="thinThickLargeGap" w:sz="6" w:space="0" w:color="C0C0C0"/>
            </w:tcBorders>
          </w:tcPr>
          <w:p w:rsidR="005F412C" w:rsidRPr="0039502F" w:rsidRDefault="005F412C" w:rsidP="00635259">
            <w:pPr>
              <w:suppressAutoHyphens w:val="0"/>
              <w:snapToGrid w:val="0"/>
              <w:spacing w:after="200" w:line="276" w:lineRule="auto"/>
              <w:jc w:val="left"/>
              <w:rPr>
                <w:rFonts w:asciiTheme="minorHAnsi" w:hAnsiTheme="minorHAnsi" w:cs="Times New Roman"/>
                <w:sz w:val="20"/>
                <w:szCs w:val="20"/>
                <w:lang w:val="el-GR" w:eastAsia="el-GR"/>
              </w:rPr>
            </w:pPr>
            <w:r w:rsidRPr="0039502F">
              <w:rPr>
                <w:rFonts w:asciiTheme="minorHAnsi" w:hAnsiTheme="minorHAnsi" w:cs="Arial"/>
                <w:sz w:val="20"/>
                <w:szCs w:val="20"/>
                <w:lang w:val="el-GR" w:eastAsia="el-GR"/>
              </w:rPr>
              <w:t>Εργολαβικό κέρδος</w:t>
            </w:r>
            <w:r w:rsidRPr="0039502F">
              <w:rPr>
                <w:rFonts w:asciiTheme="minorHAnsi" w:hAnsiTheme="minorHAnsi" w:cs="Times New Roman"/>
                <w:sz w:val="20"/>
                <w:szCs w:val="20"/>
                <w:lang w:val="el-GR" w:eastAsia="el-GR"/>
              </w:rPr>
              <w:t> </w:t>
            </w:r>
          </w:p>
        </w:tc>
        <w:tc>
          <w:tcPr>
            <w:tcW w:w="1276"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r w:rsidRPr="0039502F">
              <w:rPr>
                <w:rFonts w:asciiTheme="minorHAnsi" w:hAnsiTheme="minorHAnsi" w:cs="Times New Roman"/>
                <w:sz w:val="16"/>
                <w:szCs w:val="22"/>
                <w:lang w:val="el-GR" w:eastAsia="el-GR"/>
              </w:rPr>
              <w:t> </w:t>
            </w:r>
          </w:p>
        </w:tc>
        <w:tc>
          <w:tcPr>
            <w:tcW w:w="2693"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r w:rsidRPr="0039502F">
              <w:rPr>
                <w:rFonts w:asciiTheme="minorHAnsi" w:hAnsiTheme="minorHAnsi" w:cs="Times New Roman"/>
                <w:sz w:val="16"/>
                <w:szCs w:val="22"/>
                <w:lang w:val="el-GR" w:eastAsia="el-GR"/>
              </w:rPr>
              <w:t> </w:t>
            </w:r>
          </w:p>
        </w:tc>
      </w:tr>
      <w:tr w:rsidR="005F412C" w:rsidRPr="005F412C" w:rsidTr="00635259">
        <w:trPr>
          <w:trHeight w:val="566"/>
        </w:trPr>
        <w:tc>
          <w:tcPr>
            <w:tcW w:w="597"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center"/>
              <w:rPr>
                <w:rFonts w:asciiTheme="minorHAnsi" w:hAnsiTheme="minorHAnsi" w:cs="Times New Roman"/>
                <w:b/>
                <w:bCs/>
                <w:sz w:val="16"/>
                <w:szCs w:val="18"/>
                <w:lang w:val="el-GR" w:eastAsia="el-GR"/>
              </w:rPr>
            </w:pPr>
            <w:r w:rsidRPr="0039502F">
              <w:rPr>
                <w:rFonts w:asciiTheme="minorHAnsi" w:hAnsiTheme="minorHAnsi" w:cs="Times New Roman"/>
                <w:b/>
                <w:bCs/>
                <w:sz w:val="16"/>
                <w:szCs w:val="18"/>
                <w:lang w:val="el-GR" w:eastAsia="el-GR"/>
              </w:rPr>
              <w:t>6</w:t>
            </w:r>
          </w:p>
        </w:tc>
        <w:tc>
          <w:tcPr>
            <w:tcW w:w="6023" w:type="dxa"/>
            <w:gridSpan w:val="4"/>
            <w:tcBorders>
              <w:top w:val="thinThickLargeGap" w:sz="6" w:space="0" w:color="C0C0C0"/>
              <w:left w:val="thinThickLargeGap" w:sz="6" w:space="0" w:color="C0C0C0"/>
              <w:bottom w:val="thinThickLargeGap" w:sz="6" w:space="0" w:color="C0C0C0"/>
            </w:tcBorders>
          </w:tcPr>
          <w:p w:rsidR="005F412C" w:rsidRPr="0039502F" w:rsidRDefault="005F412C" w:rsidP="00635259">
            <w:pPr>
              <w:suppressAutoHyphens w:val="0"/>
              <w:snapToGrid w:val="0"/>
              <w:spacing w:after="200" w:line="276" w:lineRule="auto"/>
              <w:jc w:val="left"/>
              <w:rPr>
                <w:rFonts w:asciiTheme="minorHAnsi" w:hAnsiTheme="minorHAnsi" w:cs="Times New Roman"/>
                <w:sz w:val="20"/>
                <w:szCs w:val="20"/>
                <w:lang w:val="el-GR" w:eastAsia="el-GR"/>
              </w:rPr>
            </w:pPr>
            <w:r w:rsidRPr="0039502F">
              <w:rPr>
                <w:rFonts w:asciiTheme="minorHAnsi" w:hAnsiTheme="minorHAnsi" w:cs="Arial"/>
                <w:sz w:val="20"/>
                <w:szCs w:val="20"/>
                <w:lang w:val="el-GR" w:eastAsia="el-GR"/>
              </w:rPr>
              <w:t>Νόμιμες κρατήσεις επί της αξίας τιμολογίου</w:t>
            </w:r>
          </w:p>
        </w:tc>
        <w:tc>
          <w:tcPr>
            <w:tcW w:w="1276"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r w:rsidRPr="0039502F">
              <w:rPr>
                <w:rFonts w:asciiTheme="minorHAnsi" w:hAnsiTheme="minorHAnsi" w:cs="Times New Roman"/>
                <w:sz w:val="16"/>
                <w:szCs w:val="22"/>
                <w:lang w:val="el-GR" w:eastAsia="el-GR"/>
              </w:rPr>
              <w:t> </w:t>
            </w:r>
          </w:p>
        </w:tc>
        <w:tc>
          <w:tcPr>
            <w:tcW w:w="2693"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r w:rsidRPr="0039502F">
              <w:rPr>
                <w:rFonts w:asciiTheme="minorHAnsi" w:hAnsiTheme="minorHAnsi" w:cs="Times New Roman"/>
                <w:sz w:val="16"/>
                <w:szCs w:val="22"/>
                <w:lang w:val="el-GR" w:eastAsia="el-GR"/>
              </w:rPr>
              <w:t> </w:t>
            </w:r>
          </w:p>
        </w:tc>
      </w:tr>
      <w:tr w:rsidR="005F412C" w:rsidRPr="005F412C" w:rsidTr="00635259">
        <w:trPr>
          <w:trHeight w:val="566"/>
        </w:trPr>
        <w:tc>
          <w:tcPr>
            <w:tcW w:w="597"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center"/>
              <w:rPr>
                <w:rFonts w:asciiTheme="minorHAnsi" w:hAnsiTheme="minorHAnsi" w:cs="Times New Roman"/>
                <w:b/>
                <w:bCs/>
                <w:sz w:val="16"/>
                <w:szCs w:val="18"/>
                <w:lang w:val="el-GR" w:eastAsia="el-GR"/>
              </w:rPr>
            </w:pPr>
          </w:p>
        </w:tc>
        <w:tc>
          <w:tcPr>
            <w:tcW w:w="6023" w:type="dxa"/>
            <w:gridSpan w:val="4"/>
            <w:tcBorders>
              <w:top w:val="thinThickLargeGap" w:sz="6" w:space="0" w:color="C0C0C0"/>
              <w:left w:val="thinThickLargeGap" w:sz="6" w:space="0" w:color="C0C0C0"/>
              <w:bottom w:val="thinThickLargeGap" w:sz="6" w:space="0" w:color="C0C0C0"/>
            </w:tcBorders>
          </w:tcPr>
          <w:p w:rsidR="005F412C" w:rsidRPr="0039502F" w:rsidRDefault="005F412C" w:rsidP="00635259">
            <w:pPr>
              <w:suppressAutoHyphens w:val="0"/>
              <w:snapToGrid w:val="0"/>
              <w:spacing w:after="200" w:line="276" w:lineRule="auto"/>
              <w:jc w:val="right"/>
              <w:rPr>
                <w:rFonts w:asciiTheme="minorHAnsi" w:hAnsiTheme="minorHAnsi" w:cs="Times New Roman"/>
                <w:sz w:val="20"/>
                <w:szCs w:val="20"/>
                <w:lang w:val="el-GR" w:eastAsia="el-GR"/>
              </w:rPr>
            </w:pPr>
            <w:r w:rsidRPr="0039502F">
              <w:rPr>
                <w:rFonts w:asciiTheme="minorHAnsi" w:hAnsiTheme="minorHAnsi" w:cs="Arial"/>
                <w:b/>
                <w:bCs/>
                <w:sz w:val="20"/>
                <w:szCs w:val="20"/>
                <w:lang w:val="el-GR" w:eastAsia="el-GR"/>
              </w:rPr>
              <w:t xml:space="preserve">Σ Υ Ν Ο Λ Ο, ( € )     </w:t>
            </w:r>
            <w:r w:rsidRPr="0039502F">
              <w:rPr>
                <w:rFonts w:asciiTheme="minorHAnsi" w:hAnsiTheme="minorHAnsi" w:cs="Arial"/>
                <w:bCs/>
                <w:sz w:val="20"/>
                <w:szCs w:val="20"/>
                <w:lang w:val="el-GR" w:eastAsia="el-GR"/>
              </w:rPr>
              <w:t>(άνευ ΦΠΑ)</w:t>
            </w:r>
          </w:p>
        </w:tc>
        <w:tc>
          <w:tcPr>
            <w:tcW w:w="1276"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r w:rsidRPr="0039502F">
              <w:rPr>
                <w:rFonts w:asciiTheme="minorHAnsi" w:hAnsiTheme="minorHAnsi" w:cs="Times New Roman"/>
                <w:sz w:val="16"/>
                <w:szCs w:val="22"/>
                <w:lang w:val="el-GR" w:eastAsia="el-GR"/>
              </w:rPr>
              <w:t> </w:t>
            </w:r>
          </w:p>
        </w:tc>
        <w:tc>
          <w:tcPr>
            <w:tcW w:w="2693"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r w:rsidRPr="0039502F">
              <w:rPr>
                <w:rFonts w:asciiTheme="minorHAnsi" w:hAnsiTheme="minorHAnsi" w:cs="Times New Roman"/>
                <w:sz w:val="16"/>
                <w:szCs w:val="22"/>
                <w:lang w:val="el-GR" w:eastAsia="el-GR"/>
              </w:rPr>
              <w:t> </w:t>
            </w:r>
          </w:p>
        </w:tc>
      </w:tr>
      <w:tr w:rsidR="005F412C" w:rsidRPr="005F412C" w:rsidTr="00635259">
        <w:trPr>
          <w:trHeight w:val="566"/>
        </w:trPr>
        <w:tc>
          <w:tcPr>
            <w:tcW w:w="597"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center"/>
              <w:rPr>
                <w:rFonts w:asciiTheme="minorHAnsi" w:hAnsiTheme="minorHAnsi" w:cs="Times New Roman"/>
                <w:b/>
                <w:bCs/>
                <w:sz w:val="16"/>
                <w:szCs w:val="18"/>
                <w:lang w:val="el-GR" w:eastAsia="el-GR"/>
              </w:rPr>
            </w:pPr>
          </w:p>
        </w:tc>
        <w:tc>
          <w:tcPr>
            <w:tcW w:w="6023" w:type="dxa"/>
            <w:gridSpan w:val="4"/>
            <w:tcBorders>
              <w:top w:val="thinThickLargeGap" w:sz="6" w:space="0" w:color="C0C0C0"/>
              <w:left w:val="thinThickLargeGap" w:sz="6" w:space="0" w:color="C0C0C0"/>
              <w:bottom w:val="thinThickLargeGap" w:sz="6" w:space="0" w:color="C0C0C0"/>
            </w:tcBorders>
          </w:tcPr>
          <w:p w:rsidR="005F412C" w:rsidRPr="0039502F" w:rsidRDefault="005F412C" w:rsidP="00635259">
            <w:pPr>
              <w:suppressAutoHyphens w:val="0"/>
              <w:snapToGrid w:val="0"/>
              <w:spacing w:after="200" w:line="276" w:lineRule="auto"/>
              <w:jc w:val="right"/>
              <w:rPr>
                <w:rFonts w:asciiTheme="minorHAnsi" w:hAnsiTheme="minorHAnsi" w:cs="Times New Roman"/>
                <w:sz w:val="20"/>
                <w:szCs w:val="20"/>
                <w:lang w:val="el-GR" w:eastAsia="el-GR"/>
              </w:rPr>
            </w:pPr>
            <w:r w:rsidRPr="0039502F">
              <w:rPr>
                <w:rFonts w:asciiTheme="minorHAnsi" w:hAnsiTheme="minorHAnsi" w:cs="Arial"/>
                <w:b/>
                <w:bCs/>
                <w:sz w:val="20"/>
                <w:szCs w:val="20"/>
                <w:lang w:val="el-GR" w:eastAsia="el-GR"/>
              </w:rPr>
              <w:t xml:space="preserve">Σ Υ Ν Ο Λ Ο, ( € )     </w:t>
            </w:r>
            <w:r w:rsidRPr="0039502F">
              <w:rPr>
                <w:rFonts w:asciiTheme="minorHAnsi" w:hAnsiTheme="minorHAnsi" w:cs="Arial"/>
                <w:bCs/>
                <w:sz w:val="20"/>
                <w:szCs w:val="20"/>
                <w:lang w:val="el-GR" w:eastAsia="el-GR"/>
              </w:rPr>
              <w:t>(με τον ΦΠΑ)</w:t>
            </w:r>
          </w:p>
        </w:tc>
        <w:tc>
          <w:tcPr>
            <w:tcW w:w="1276" w:type="dxa"/>
            <w:tcBorders>
              <w:top w:val="thinThickLargeGap" w:sz="6" w:space="0" w:color="C0C0C0"/>
              <w:left w:val="thinThickLargeGap" w:sz="6" w:space="0" w:color="C0C0C0"/>
              <w:bottom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p>
        </w:tc>
        <w:tc>
          <w:tcPr>
            <w:tcW w:w="2693"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5F412C" w:rsidRPr="0039502F" w:rsidRDefault="005F412C" w:rsidP="00635259">
            <w:pPr>
              <w:suppressAutoHyphens w:val="0"/>
              <w:snapToGrid w:val="0"/>
              <w:spacing w:after="200" w:line="276" w:lineRule="auto"/>
              <w:jc w:val="right"/>
              <w:rPr>
                <w:rFonts w:asciiTheme="minorHAnsi" w:hAnsiTheme="minorHAnsi" w:cs="Times New Roman"/>
                <w:sz w:val="16"/>
                <w:szCs w:val="22"/>
                <w:lang w:val="el-GR" w:eastAsia="el-GR"/>
              </w:rPr>
            </w:pPr>
          </w:p>
        </w:tc>
      </w:tr>
    </w:tbl>
    <w:p w:rsidR="005F412C" w:rsidRPr="0039502F" w:rsidRDefault="005F412C" w:rsidP="005F412C">
      <w:pPr>
        <w:rPr>
          <w:rFonts w:asciiTheme="minorHAnsi" w:hAnsiTheme="minorHAnsi"/>
          <w:lang w:val="el-GR" w:eastAsia="el-GR"/>
        </w:rPr>
      </w:pPr>
    </w:p>
    <w:p w:rsidR="005F412C" w:rsidRPr="0039502F" w:rsidRDefault="005F412C" w:rsidP="005F412C">
      <w:pPr>
        <w:pStyle w:val="a3"/>
        <w:numPr>
          <w:ilvl w:val="0"/>
          <w:numId w:val="1"/>
        </w:numPr>
        <w:rPr>
          <w:rFonts w:asciiTheme="minorHAnsi" w:hAnsiTheme="minorHAnsi"/>
          <w:lang w:val="el-GR" w:eastAsia="el-GR"/>
        </w:rPr>
      </w:pPr>
      <w:r w:rsidRPr="0039502F">
        <w:rPr>
          <w:rFonts w:asciiTheme="minorHAnsi" w:hAnsiTheme="minorHAnsi"/>
          <w:lang w:val="el-GR" w:eastAsia="el-GR"/>
        </w:rPr>
        <w:t>Οικονομική Προσφορά, που είναι ελλιπής ή αόριστη, απορρίπτεται ως απαράδεκτη.</w:t>
      </w:r>
    </w:p>
    <w:p w:rsidR="005F412C" w:rsidRPr="0039502F" w:rsidRDefault="005F412C" w:rsidP="005F412C">
      <w:pPr>
        <w:rPr>
          <w:rFonts w:asciiTheme="minorHAnsi" w:hAnsiTheme="minorHAnsi"/>
          <w:b/>
          <w:iCs/>
          <w:lang w:val="el-GR"/>
        </w:rPr>
      </w:pPr>
      <w:r w:rsidRPr="0039502F">
        <w:rPr>
          <w:rFonts w:asciiTheme="minorHAnsi" w:hAnsiTheme="minorHAnsi"/>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(βλ. 5.1.2.). </w:t>
      </w:r>
    </w:p>
    <w:p w:rsidR="00952BD8" w:rsidRPr="005F412C" w:rsidRDefault="00952BD8">
      <w:pPr>
        <w:rPr>
          <w:lang w:val="el-GR"/>
        </w:rPr>
      </w:pPr>
    </w:p>
    <w:sectPr w:rsidR="00952BD8" w:rsidRPr="005F412C" w:rsidSect="005F412C">
      <w:pgSz w:w="11906" w:h="16838"/>
      <w:pgMar w:top="1134" w:right="180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C44AA"/>
    <w:multiLevelType w:val="hybridMultilevel"/>
    <w:tmpl w:val="455662A6"/>
    <w:lvl w:ilvl="0" w:tplc="04080009">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C"/>
    <w:rsid w:val="005F412C"/>
    <w:rsid w:val="00952B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12C"/>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5F41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5F412C"/>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F412C"/>
    <w:rPr>
      <w:rFonts w:ascii="Arial" w:eastAsia="Times New Roman" w:hAnsi="Arial" w:cs="Arial"/>
      <w:b/>
      <w:color w:val="002060"/>
      <w:sz w:val="24"/>
      <w:lang w:val="en-GB" w:eastAsia="zh-CN"/>
    </w:rPr>
  </w:style>
  <w:style w:type="paragraph" w:styleId="a3">
    <w:name w:val="List Paragraph"/>
    <w:basedOn w:val="a"/>
    <w:uiPriority w:val="34"/>
    <w:qFormat/>
    <w:rsid w:val="005F412C"/>
    <w:pPr>
      <w:ind w:left="720"/>
    </w:pPr>
  </w:style>
  <w:style w:type="character" w:customStyle="1" w:styleId="1Char">
    <w:name w:val="Επικεφαλίδα 1 Char"/>
    <w:basedOn w:val="a0"/>
    <w:link w:val="1"/>
    <w:uiPriority w:val="9"/>
    <w:rsid w:val="005F412C"/>
    <w:rPr>
      <w:rFonts w:asciiTheme="majorHAnsi" w:eastAsiaTheme="majorEastAsia" w:hAnsiTheme="majorHAnsi" w:cstheme="majorBidi"/>
      <w:b/>
      <w:bCs/>
      <w:color w:val="365F91" w:themeColor="accent1" w:themeShade="BF"/>
      <w:sz w:val="28"/>
      <w:szCs w:val="2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12C"/>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5F41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5F412C"/>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F412C"/>
    <w:rPr>
      <w:rFonts w:ascii="Arial" w:eastAsia="Times New Roman" w:hAnsi="Arial" w:cs="Arial"/>
      <w:b/>
      <w:color w:val="002060"/>
      <w:sz w:val="24"/>
      <w:lang w:val="en-GB" w:eastAsia="zh-CN"/>
    </w:rPr>
  </w:style>
  <w:style w:type="paragraph" w:styleId="a3">
    <w:name w:val="List Paragraph"/>
    <w:basedOn w:val="a"/>
    <w:uiPriority w:val="34"/>
    <w:qFormat/>
    <w:rsid w:val="005F412C"/>
    <w:pPr>
      <w:ind w:left="720"/>
    </w:pPr>
  </w:style>
  <w:style w:type="character" w:customStyle="1" w:styleId="1Char">
    <w:name w:val="Επικεφαλίδα 1 Char"/>
    <w:basedOn w:val="a0"/>
    <w:link w:val="1"/>
    <w:uiPriority w:val="9"/>
    <w:rsid w:val="005F412C"/>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969</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Βάγια Γούλα</dc:creator>
  <cp:lastModifiedBy>Βάγια Γούλα</cp:lastModifiedBy>
  <cp:revision>1</cp:revision>
  <dcterms:created xsi:type="dcterms:W3CDTF">2018-01-08T11:13:00Z</dcterms:created>
  <dcterms:modified xsi:type="dcterms:W3CDTF">2018-01-08T11:15:00Z</dcterms:modified>
</cp:coreProperties>
</file>